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E0EB6" w14:textId="2E402885" w:rsidR="00BC10B9" w:rsidRPr="001363DD" w:rsidRDefault="0039730D" w:rsidP="0039730D">
      <w:pPr>
        <w:jc w:val="center"/>
        <w:rPr>
          <w:rFonts w:eastAsia="Arial"/>
        </w:rPr>
      </w:pPr>
      <w:bookmarkStart w:id="0" w:name="_GoBack"/>
      <w:bookmarkEnd w:id="0"/>
      <w:r>
        <w:rPr>
          <w:noProof/>
          <w:sz w:val="48"/>
          <w:szCs w:val="48"/>
        </w:rPr>
        <w:drawing>
          <wp:inline distT="0" distB="0" distL="0" distR="0" wp14:anchorId="23AA2512" wp14:editId="515CF463">
            <wp:extent cx="1033780" cy="1041400"/>
            <wp:effectExtent l="19050" t="0" r="0" b="0"/>
            <wp:docPr id="2" name="Picture 2" descr="DCJSlog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
                    <pic:cNvPicPr>
                      <a:picLocks noChangeAspect="1" noChangeArrowheads="1"/>
                    </pic:cNvPicPr>
                  </pic:nvPicPr>
                  <pic:blipFill>
                    <a:blip r:embed="rId8" cstate="print"/>
                    <a:srcRect/>
                    <a:stretch>
                      <a:fillRect/>
                    </a:stretch>
                  </pic:blipFill>
                  <pic:spPr bwMode="auto">
                    <a:xfrm>
                      <a:off x="0" y="0"/>
                      <a:ext cx="1033780" cy="1041400"/>
                    </a:xfrm>
                    <a:prstGeom prst="rect">
                      <a:avLst/>
                    </a:prstGeom>
                    <a:noFill/>
                    <a:ln w="9525">
                      <a:noFill/>
                      <a:miter lim="800000"/>
                      <a:headEnd/>
                      <a:tailEnd/>
                    </a:ln>
                  </pic:spPr>
                </pic:pic>
              </a:graphicData>
            </a:graphic>
          </wp:inline>
        </w:drawing>
      </w:r>
    </w:p>
    <w:p w14:paraId="6BE7070C" w14:textId="77777777" w:rsidR="00BC10B9" w:rsidRPr="001363DD" w:rsidRDefault="00BC10B9" w:rsidP="00EB415B">
      <w:pPr>
        <w:rPr>
          <w:rFonts w:eastAsia="Arial"/>
        </w:rPr>
      </w:pPr>
    </w:p>
    <w:p w14:paraId="19065AA3" w14:textId="77777777" w:rsidR="00BC10B9" w:rsidRPr="001363DD" w:rsidRDefault="00BC10B9" w:rsidP="00EB415B">
      <w:pPr>
        <w:rPr>
          <w:rFonts w:eastAsia="Arial"/>
        </w:rPr>
      </w:pPr>
    </w:p>
    <w:p w14:paraId="23CFDBAF" w14:textId="77777777" w:rsidR="00BC10B9" w:rsidRPr="001363DD" w:rsidRDefault="00BC10B9" w:rsidP="00EB415B">
      <w:pPr>
        <w:rPr>
          <w:rFonts w:eastAsia="Arial"/>
        </w:rPr>
      </w:pPr>
    </w:p>
    <w:p w14:paraId="782B9273" w14:textId="77777777" w:rsidR="00BC10B9" w:rsidRPr="001363DD" w:rsidRDefault="00BC10B9" w:rsidP="00EB415B">
      <w:pPr>
        <w:ind w:left="-360"/>
        <w:rPr>
          <w:rFonts w:eastAsia="Arial"/>
        </w:rPr>
      </w:pPr>
    </w:p>
    <w:p w14:paraId="3A9E49BA" w14:textId="77777777" w:rsidR="00BC10B9" w:rsidRPr="001363DD" w:rsidRDefault="00BC10B9" w:rsidP="00EB415B">
      <w:pPr>
        <w:rPr>
          <w:rFonts w:eastAsia="Arial"/>
        </w:rPr>
      </w:pPr>
    </w:p>
    <w:p w14:paraId="657F3976" w14:textId="77777777" w:rsidR="00BC10B9" w:rsidRPr="001363DD" w:rsidRDefault="00BC10B9" w:rsidP="00EB415B">
      <w:pPr>
        <w:rPr>
          <w:rFonts w:eastAsia="Arial"/>
        </w:rPr>
      </w:pPr>
    </w:p>
    <w:p w14:paraId="537AFB11" w14:textId="77777777" w:rsidR="00BC10B9" w:rsidRPr="001363DD" w:rsidRDefault="00BC10B9" w:rsidP="00EB415B">
      <w:pPr>
        <w:pBdr>
          <w:top w:val="nil"/>
          <w:left w:val="nil"/>
          <w:bottom w:val="nil"/>
          <w:right w:val="nil"/>
          <w:between w:val="nil"/>
        </w:pBdr>
        <w:tabs>
          <w:tab w:val="right" w:pos="8630"/>
        </w:tabs>
        <w:spacing w:before="120" w:after="120"/>
        <w:rPr>
          <w:b/>
          <w:smallCaps/>
          <w:highlight w:val="yellow"/>
        </w:rPr>
      </w:pPr>
    </w:p>
    <w:p w14:paraId="2FFE9863" w14:textId="77777777" w:rsidR="00BC10B9" w:rsidRPr="001363DD" w:rsidRDefault="00BC10B9" w:rsidP="00EB415B">
      <w:pPr>
        <w:pBdr>
          <w:top w:val="nil"/>
          <w:left w:val="nil"/>
          <w:bottom w:val="nil"/>
          <w:right w:val="nil"/>
          <w:between w:val="nil"/>
        </w:pBdr>
        <w:tabs>
          <w:tab w:val="right" w:pos="8630"/>
        </w:tabs>
        <w:spacing w:before="120" w:after="120"/>
        <w:rPr>
          <w:rFonts w:eastAsia="Arial"/>
          <w:sz w:val="22"/>
          <w:szCs w:val="22"/>
        </w:rPr>
      </w:pPr>
    </w:p>
    <w:p w14:paraId="5528E64E" w14:textId="77777777" w:rsidR="00BC10B9" w:rsidRPr="001363DD" w:rsidRDefault="00BC10B9" w:rsidP="00EB415B">
      <w:pPr>
        <w:pBdr>
          <w:top w:val="nil"/>
          <w:left w:val="nil"/>
          <w:bottom w:val="nil"/>
          <w:right w:val="nil"/>
          <w:between w:val="nil"/>
        </w:pBdr>
        <w:tabs>
          <w:tab w:val="right" w:pos="8630"/>
        </w:tabs>
        <w:spacing w:before="120" w:after="120"/>
        <w:rPr>
          <w:rFonts w:eastAsia="Arial"/>
          <w:sz w:val="22"/>
          <w:szCs w:val="22"/>
        </w:rPr>
      </w:pPr>
    </w:p>
    <w:p w14:paraId="1D181E19" w14:textId="28066024" w:rsidR="00BC10B9" w:rsidRPr="001363DD" w:rsidRDefault="00FE4050" w:rsidP="00EB415B">
      <w:pPr>
        <w:pBdr>
          <w:top w:val="nil"/>
          <w:left w:val="nil"/>
          <w:bottom w:val="nil"/>
          <w:right w:val="nil"/>
          <w:between w:val="nil"/>
        </w:pBdr>
        <w:tabs>
          <w:tab w:val="right" w:pos="8630"/>
        </w:tabs>
        <w:spacing w:before="120" w:after="120"/>
        <w:jc w:val="center"/>
        <w:rPr>
          <w:rFonts w:eastAsia="Arial"/>
          <w:b/>
          <w:sz w:val="48"/>
          <w:szCs w:val="48"/>
        </w:rPr>
      </w:pPr>
      <w:r>
        <w:rPr>
          <w:rFonts w:eastAsia="Arial"/>
          <w:b/>
          <w:sz w:val="48"/>
          <w:szCs w:val="48"/>
        </w:rPr>
        <w:t>Victi</w:t>
      </w:r>
      <w:r w:rsidR="00343567" w:rsidRPr="001363DD">
        <w:rPr>
          <w:rFonts w:eastAsia="Arial"/>
          <w:b/>
          <w:sz w:val="48"/>
          <w:szCs w:val="48"/>
        </w:rPr>
        <w:t>ms of Crime Act</w:t>
      </w:r>
    </w:p>
    <w:p w14:paraId="1AD792E9" w14:textId="77777777" w:rsidR="00043515" w:rsidRDefault="00043515" w:rsidP="005A3E85">
      <w:pPr>
        <w:pBdr>
          <w:top w:val="nil"/>
          <w:left w:val="nil"/>
          <w:bottom w:val="nil"/>
          <w:right w:val="nil"/>
          <w:between w:val="nil"/>
        </w:pBdr>
        <w:tabs>
          <w:tab w:val="right" w:pos="8630"/>
        </w:tabs>
        <w:spacing w:before="120" w:after="120"/>
        <w:jc w:val="center"/>
        <w:rPr>
          <w:sz w:val="48"/>
          <w:szCs w:val="48"/>
        </w:rPr>
      </w:pPr>
      <w:r>
        <w:rPr>
          <w:sz w:val="48"/>
          <w:szCs w:val="48"/>
        </w:rPr>
        <w:t>Hospital</w:t>
      </w:r>
      <w:r w:rsidR="00A93859">
        <w:rPr>
          <w:sz w:val="48"/>
          <w:szCs w:val="48"/>
        </w:rPr>
        <w:t xml:space="preserve">-Based </w:t>
      </w:r>
      <w:r>
        <w:rPr>
          <w:sz w:val="48"/>
          <w:szCs w:val="48"/>
        </w:rPr>
        <w:t>Violence Intervention</w:t>
      </w:r>
    </w:p>
    <w:p w14:paraId="41475DCE" w14:textId="03637DA3" w:rsidR="005A3E85" w:rsidRPr="00DB70E1" w:rsidRDefault="005A3E85" w:rsidP="005A3E85">
      <w:pPr>
        <w:pBdr>
          <w:top w:val="nil"/>
          <w:left w:val="nil"/>
          <w:bottom w:val="nil"/>
          <w:right w:val="nil"/>
          <w:between w:val="nil"/>
        </w:pBdr>
        <w:tabs>
          <w:tab w:val="right" w:pos="8630"/>
        </w:tabs>
        <w:spacing w:before="120" w:after="120"/>
        <w:jc w:val="center"/>
        <w:rPr>
          <w:rFonts w:eastAsia="Arial"/>
          <w:b/>
          <w:sz w:val="48"/>
          <w:szCs w:val="48"/>
        </w:rPr>
      </w:pPr>
      <w:r w:rsidRPr="00DB70E1">
        <w:rPr>
          <w:sz w:val="48"/>
          <w:szCs w:val="48"/>
        </w:rPr>
        <w:t>Grant Program</w:t>
      </w:r>
    </w:p>
    <w:p w14:paraId="482C9C7F" w14:textId="77777777" w:rsidR="00BC10B9" w:rsidRPr="001363DD" w:rsidRDefault="00BC10B9" w:rsidP="00EB415B">
      <w:pPr>
        <w:pBdr>
          <w:top w:val="nil"/>
          <w:left w:val="nil"/>
          <w:bottom w:val="nil"/>
          <w:right w:val="nil"/>
          <w:between w:val="nil"/>
        </w:pBdr>
        <w:tabs>
          <w:tab w:val="right" w:pos="8630"/>
        </w:tabs>
        <w:spacing w:before="120" w:after="120"/>
        <w:jc w:val="center"/>
        <w:rPr>
          <w:rFonts w:eastAsia="Arial"/>
          <w:b/>
          <w:sz w:val="36"/>
          <w:szCs w:val="36"/>
        </w:rPr>
      </w:pPr>
    </w:p>
    <w:p w14:paraId="727C9C96" w14:textId="77777777" w:rsidR="00BC10B9" w:rsidRPr="001363DD" w:rsidRDefault="00343567" w:rsidP="00EB415B">
      <w:pPr>
        <w:pBdr>
          <w:top w:val="nil"/>
          <w:left w:val="nil"/>
          <w:bottom w:val="nil"/>
          <w:right w:val="nil"/>
          <w:between w:val="nil"/>
        </w:pBdr>
        <w:tabs>
          <w:tab w:val="right" w:pos="8630"/>
        </w:tabs>
        <w:spacing w:before="120" w:after="120"/>
        <w:jc w:val="center"/>
        <w:rPr>
          <w:rFonts w:eastAsia="Arial"/>
          <w:sz w:val="40"/>
          <w:szCs w:val="40"/>
        </w:rPr>
      </w:pPr>
      <w:r w:rsidRPr="001363DD">
        <w:rPr>
          <w:rFonts w:eastAsia="Arial"/>
          <w:sz w:val="40"/>
          <w:szCs w:val="40"/>
        </w:rPr>
        <w:t>Program Guidelines and Application Procedures</w:t>
      </w:r>
    </w:p>
    <w:p w14:paraId="7D9A40EA" w14:textId="6CAB56A2" w:rsidR="00BC10B9" w:rsidRPr="001363DD" w:rsidRDefault="00343567" w:rsidP="002F6DCC">
      <w:pPr>
        <w:tabs>
          <w:tab w:val="right" w:pos="8630"/>
        </w:tabs>
        <w:spacing w:before="120" w:after="120"/>
        <w:jc w:val="center"/>
        <w:rPr>
          <w:rFonts w:eastAsia="Arial"/>
          <w:b/>
          <w:sz w:val="36"/>
          <w:szCs w:val="36"/>
        </w:rPr>
      </w:pPr>
      <w:r w:rsidRPr="001363DD">
        <w:rPr>
          <w:rFonts w:eastAsia="Arial"/>
          <w:sz w:val="40"/>
          <w:szCs w:val="40"/>
        </w:rPr>
        <w:t>Fiscal Years 2020</w:t>
      </w:r>
      <w:r w:rsidR="002F6DCC">
        <w:rPr>
          <w:rFonts w:eastAsia="Arial"/>
          <w:sz w:val="40"/>
          <w:szCs w:val="40"/>
        </w:rPr>
        <w:t xml:space="preserve"> and</w:t>
      </w:r>
      <w:r w:rsidRPr="001363DD">
        <w:rPr>
          <w:rFonts w:eastAsia="Arial"/>
          <w:sz w:val="40"/>
          <w:szCs w:val="40"/>
        </w:rPr>
        <w:t xml:space="preserve"> 2021</w:t>
      </w:r>
    </w:p>
    <w:p w14:paraId="21B948E5" w14:textId="77777777" w:rsidR="00BC10B9" w:rsidRPr="001363DD" w:rsidRDefault="00BC10B9" w:rsidP="00EB415B">
      <w:pPr>
        <w:pBdr>
          <w:top w:val="nil"/>
          <w:left w:val="nil"/>
          <w:bottom w:val="nil"/>
          <w:right w:val="nil"/>
          <w:between w:val="nil"/>
        </w:pBdr>
        <w:tabs>
          <w:tab w:val="right" w:pos="8630"/>
        </w:tabs>
        <w:spacing w:before="120" w:after="120"/>
        <w:jc w:val="center"/>
        <w:rPr>
          <w:rFonts w:eastAsia="Arial"/>
          <w:b/>
          <w:sz w:val="36"/>
          <w:szCs w:val="36"/>
        </w:rPr>
      </w:pPr>
    </w:p>
    <w:p w14:paraId="5C2E44A5" w14:textId="77777777" w:rsidR="00BC10B9" w:rsidRPr="0039730D" w:rsidRDefault="00343567" w:rsidP="00EB415B">
      <w:pPr>
        <w:pBdr>
          <w:top w:val="nil"/>
          <w:left w:val="nil"/>
          <w:bottom w:val="nil"/>
          <w:right w:val="nil"/>
          <w:between w:val="nil"/>
        </w:pBdr>
        <w:tabs>
          <w:tab w:val="right" w:pos="8630"/>
        </w:tabs>
        <w:spacing w:before="120" w:after="120"/>
        <w:jc w:val="center"/>
        <w:rPr>
          <w:rFonts w:eastAsia="Arial"/>
          <w:b/>
          <w:i/>
          <w:sz w:val="36"/>
          <w:szCs w:val="36"/>
        </w:rPr>
      </w:pPr>
      <w:r w:rsidRPr="0039730D">
        <w:rPr>
          <w:rFonts w:eastAsia="Arial"/>
          <w:b/>
          <w:i/>
          <w:sz w:val="36"/>
          <w:szCs w:val="36"/>
        </w:rPr>
        <w:t>A</w:t>
      </w:r>
      <w:r w:rsidR="001363DD" w:rsidRPr="0039730D">
        <w:rPr>
          <w:rFonts w:eastAsia="Arial"/>
          <w:b/>
          <w:i/>
          <w:sz w:val="36"/>
          <w:szCs w:val="36"/>
        </w:rPr>
        <w:t>pplication Due Date</w:t>
      </w:r>
    </w:p>
    <w:p w14:paraId="760C4468" w14:textId="4BC47D62" w:rsidR="00BC10B9" w:rsidRPr="0039730D" w:rsidRDefault="006746BE" w:rsidP="00EB415B">
      <w:pPr>
        <w:pBdr>
          <w:top w:val="nil"/>
          <w:left w:val="nil"/>
          <w:bottom w:val="nil"/>
          <w:right w:val="nil"/>
          <w:between w:val="nil"/>
        </w:pBdr>
        <w:tabs>
          <w:tab w:val="right" w:pos="8630"/>
        </w:tabs>
        <w:spacing w:before="120" w:after="120"/>
        <w:jc w:val="center"/>
        <w:rPr>
          <w:rFonts w:eastAsia="Arial"/>
          <w:b/>
          <w:i/>
          <w:sz w:val="36"/>
          <w:szCs w:val="36"/>
        </w:rPr>
      </w:pPr>
      <w:r w:rsidRPr="006746BE">
        <w:rPr>
          <w:rFonts w:eastAsia="Arial"/>
          <w:b/>
          <w:i/>
          <w:sz w:val="36"/>
          <w:szCs w:val="36"/>
        </w:rPr>
        <w:t>Thursday</w:t>
      </w:r>
      <w:r w:rsidR="0013646D" w:rsidRPr="006746BE">
        <w:rPr>
          <w:rFonts w:eastAsia="Arial"/>
          <w:b/>
          <w:i/>
          <w:sz w:val="36"/>
          <w:szCs w:val="36"/>
        </w:rPr>
        <w:t xml:space="preserve">, April </w:t>
      </w:r>
      <w:r w:rsidRPr="006746BE">
        <w:rPr>
          <w:rFonts w:eastAsia="Arial"/>
          <w:b/>
          <w:i/>
          <w:sz w:val="36"/>
          <w:szCs w:val="36"/>
        </w:rPr>
        <w:t>4</w:t>
      </w:r>
      <w:r w:rsidR="001363DD" w:rsidRPr="006746BE">
        <w:rPr>
          <w:rFonts w:eastAsia="Arial"/>
          <w:b/>
          <w:i/>
          <w:sz w:val="36"/>
          <w:szCs w:val="36"/>
        </w:rPr>
        <w:t>, 2019</w:t>
      </w:r>
    </w:p>
    <w:p w14:paraId="4FA93B26" w14:textId="77777777" w:rsidR="00BC10B9" w:rsidRPr="001363DD" w:rsidRDefault="00BC10B9" w:rsidP="00EB415B">
      <w:pPr>
        <w:pBdr>
          <w:top w:val="nil"/>
          <w:left w:val="nil"/>
          <w:bottom w:val="nil"/>
          <w:right w:val="nil"/>
          <w:between w:val="nil"/>
        </w:pBdr>
        <w:tabs>
          <w:tab w:val="right" w:pos="8630"/>
        </w:tabs>
        <w:spacing w:before="120" w:after="120"/>
        <w:jc w:val="center"/>
        <w:rPr>
          <w:rFonts w:eastAsia="Arial"/>
          <w:sz w:val="22"/>
          <w:szCs w:val="22"/>
        </w:rPr>
      </w:pPr>
    </w:p>
    <w:p w14:paraId="2A4EF3E7" w14:textId="77777777" w:rsidR="00BC10B9" w:rsidRPr="001363DD" w:rsidRDefault="00BC10B9" w:rsidP="00EB415B">
      <w:pPr>
        <w:pBdr>
          <w:top w:val="nil"/>
          <w:left w:val="nil"/>
          <w:bottom w:val="nil"/>
          <w:right w:val="nil"/>
          <w:between w:val="nil"/>
        </w:pBdr>
        <w:tabs>
          <w:tab w:val="right" w:pos="8630"/>
        </w:tabs>
        <w:spacing w:before="120" w:after="120"/>
        <w:jc w:val="center"/>
        <w:rPr>
          <w:rFonts w:eastAsia="Arial"/>
          <w:sz w:val="22"/>
          <w:szCs w:val="22"/>
        </w:rPr>
      </w:pPr>
    </w:p>
    <w:p w14:paraId="31EFA941" w14:textId="77777777" w:rsidR="001363DD" w:rsidRPr="001363DD" w:rsidRDefault="001363DD" w:rsidP="00EB415B">
      <w:pPr>
        <w:pBdr>
          <w:top w:val="nil"/>
          <w:left w:val="nil"/>
          <w:bottom w:val="nil"/>
          <w:right w:val="nil"/>
          <w:between w:val="nil"/>
        </w:pBdr>
        <w:tabs>
          <w:tab w:val="right" w:pos="8630"/>
        </w:tabs>
        <w:spacing w:before="120" w:after="120"/>
        <w:jc w:val="center"/>
        <w:rPr>
          <w:rFonts w:eastAsia="Arial"/>
          <w:sz w:val="22"/>
          <w:szCs w:val="22"/>
        </w:rPr>
      </w:pPr>
    </w:p>
    <w:p w14:paraId="523CEF44" w14:textId="77777777" w:rsidR="001363DD" w:rsidRPr="001363DD" w:rsidRDefault="001363DD" w:rsidP="00EB415B">
      <w:pPr>
        <w:pBdr>
          <w:top w:val="nil"/>
          <w:left w:val="nil"/>
          <w:bottom w:val="nil"/>
          <w:right w:val="nil"/>
          <w:between w:val="nil"/>
        </w:pBdr>
        <w:tabs>
          <w:tab w:val="right" w:pos="8630"/>
        </w:tabs>
        <w:spacing w:before="120" w:after="120"/>
        <w:jc w:val="center"/>
        <w:rPr>
          <w:rFonts w:eastAsia="Arial"/>
          <w:sz w:val="22"/>
          <w:szCs w:val="22"/>
        </w:rPr>
      </w:pPr>
    </w:p>
    <w:p w14:paraId="06B3D694" w14:textId="77777777" w:rsidR="001363DD" w:rsidRPr="001363DD" w:rsidRDefault="001363DD" w:rsidP="00EB415B">
      <w:pPr>
        <w:pBdr>
          <w:top w:val="nil"/>
          <w:left w:val="nil"/>
          <w:bottom w:val="nil"/>
          <w:right w:val="nil"/>
          <w:between w:val="nil"/>
        </w:pBdr>
        <w:tabs>
          <w:tab w:val="right" w:pos="8630"/>
        </w:tabs>
        <w:spacing w:before="120" w:after="120"/>
        <w:jc w:val="center"/>
        <w:rPr>
          <w:rFonts w:eastAsia="Arial"/>
          <w:sz w:val="22"/>
          <w:szCs w:val="22"/>
        </w:rPr>
      </w:pPr>
    </w:p>
    <w:p w14:paraId="3C3B9B32" w14:textId="77777777" w:rsidR="00BC10B9" w:rsidRPr="001363DD" w:rsidRDefault="00BC10B9" w:rsidP="00EB415B">
      <w:pPr>
        <w:pBdr>
          <w:top w:val="nil"/>
          <w:left w:val="nil"/>
          <w:bottom w:val="nil"/>
          <w:right w:val="nil"/>
          <w:between w:val="nil"/>
        </w:pBdr>
        <w:tabs>
          <w:tab w:val="right" w:pos="8630"/>
        </w:tabs>
        <w:spacing w:before="120" w:after="120"/>
        <w:jc w:val="center"/>
        <w:rPr>
          <w:rFonts w:eastAsia="Arial"/>
          <w:sz w:val="22"/>
          <w:szCs w:val="22"/>
        </w:rPr>
      </w:pPr>
    </w:p>
    <w:p w14:paraId="55BDA62E" w14:textId="77777777" w:rsidR="00BC10B9" w:rsidRPr="001363DD" w:rsidRDefault="00343567" w:rsidP="00EB415B">
      <w:pPr>
        <w:pBdr>
          <w:top w:val="nil"/>
          <w:left w:val="nil"/>
          <w:bottom w:val="nil"/>
          <w:right w:val="nil"/>
          <w:between w:val="nil"/>
        </w:pBdr>
        <w:tabs>
          <w:tab w:val="right" w:pos="8630"/>
        </w:tabs>
        <w:jc w:val="center"/>
        <w:rPr>
          <w:rFonts w:eastAsia="Arial"/>
          <w:sz w:val="22"/>
          <w:szCs w:val="22"/>
        </w:rPr>
      </w:pPr>
      <w:r w:rsidRPr="001363DD">
        <w:rPr>
          <w:rFonts w:eastAsia="Arial"/>
          <w:sz w:val="22"/>
          <w:szCs w:val="22"/>
        </w:rPr>
        <w:t>Virginia Department of Criminal Justice Services</w:t>
      </w:r>
    </w:p>
    <w:p w14:paraId="679D0475" w14:textId="071AD952" w:rsidR="00BC10B9" w:rsidRPr="001363DD" w:rsidRDefault="00343567" w:rsidP="00EB415B">
      <w:pPr>
        <w:pBdr>
          <w:top w:val="nil"/>
          <w:left w:val="nil"/>
          <w:bottom w:val="nil"/>
          <w:right w:val="nil"/>
          <w:between w:val="nil"/>
        </w:pBdr>
        <w:tabs>
          <w:tab w:val="right" w:pos="8630"/>
        </w:tabs>
        <w:jc w:val="center"/>
        <w:rPr>
          <w:rFonts w:eastAsia="Arial"/>
          <w:sz w:val="22"/>
          <w:szCs w:val="22"/>
        </w:rPr>
      </w:pPr>
      <w:r w:rsidRPr="001363DD">
        <w:rPr>
          <w:rFonts w:eastAsia="Arial"/>
          <w:sz w:val="22"/>
          <w:szCs w:val="22"/>
        </w:rPr>
        <w:t xml:space="preserve">1100 Bank Street, Richmond, </w:t>
      </w:r>
      <w:r w:rsidR="004877EA">
        <w:rPr>
          <w:rFonts w:eastAsia="Arial"/>
          <w:sz w:val="22"/>
          <w:szCs w:val="22"/>
        </w:rPr>
        <w:t>Virginia</w:t>
      </w:r>
      <w:r w:rsidRPr="001363DD">
        <w:rPr>
          <w:rFonts w:eastAsia="Arial"/>
          <w:sz w:val="22"/>
          <w:szCs w:val="22"/>
        </w:rPr>
        <w:t xml:space="preserve"> 23219</w:t>
      </w:r>
    </w:p>
    <w:p w14:paraId="0DC0DCDD" w14:textId="77777777" w:rsidR="00BC10B9" w:rsidRPr="001363DD" w:rsidRDefault="00343567" w:rsidP="00EB415B">
      <w:pPr>
        <w:pBdr>
          <w:top w:val="nil"/>
          <w:left w:val="nil"/>
          <w:bottom w:val="nil"/>
          <w:right w:val="nil"/>
          <w:between w:val="nil"/>
        </w:pBdr>
        <w:tabs>
          <w:tab w:val="right" w:pos="8630"/>
        </w:tabs>
        <w:jc w:val="center"/>
        <w:rPr>
          <w:rFonts w:eastAsia="Arial"/>
          <w:sz w:val="22"/>
          <w:szCs w:val="22"/>
        </w:rPr>
      </w:pPr>
      <w:r w:rsidRPr="001363DD">
        <w:rPr>
          <w:rFonts w:eastAsia="Arial"/>
          <w:sz w:val="22"/>
          <w:szCs w:val="22"/>
        </w:rPr>
        <w:t>www.dcjs.virginia.gov</w:t>
      </w:r>
    </w:p>
    <w:p w14:paraId="3AE5D464" w14:textId="77777777" w:rsidR="001363DD" w:rsidRPr="001363DD" w:rsidRDefault="001363DD" w:rsidP="00EB415B">
      <w:pPr>
        <w:pBdr>
          <w:top w:val="nil"/>
          <w:left w:val="nil"/>
          <w:bottom w:val="nil"/>
          <w:right w:val="nil"/>
          <w:between w:val="nil"/>
        </w:pBdr>
        <w:tabs>
          <w:tab w:val="right" w:pos="8630"/>
        </w:tabs>
        <w:spacing w:before="120" w:after="120"/>
        <w:jc w:val="center"/>
        <w:rPr>
          <w:rFonts w:eastAsia="Arial"/>
          <w:sz w:val="22"/>
          <w:szCs w:val="22"/>
        </w:rPr>
      </w:pPr>
    </w:p>
    <w:p w14:paraId="1E11CC75" w14:textId="640B563B" w:rsidR="00BC10B9" w:rsidRPr="001069DC" w:rsidRDefault="00C51224" w:rsidP="00EB415B">
      <w:pPr>
        <w:pBdr>
          <w:top w:val="nil"/>
          <w:left w:val="nil"/>
          <w:bottom w:val="nil"/>
          <w:right w:val="nil"/>
          <w:between w:val="nil"/>
        </w:pBdr>
        <w:tabs>
          <w:tab w:val="right" w:pos="8630"/>
        </w:tabs>
        <w:spacing w:before="120" w:after="120"/>
        <w:jc w:val="center"/>
        <w:rPr>
          <w:rFonts w:eastAsia="Arial"/>
          <w:sz w:val="22"/>
          <w:szCs w:val="22"/>
        </w:rPr>
      </w:pPr>
      <w:r w:rsidRPr="001069DC">
        <w:rPr>
          <w:rFonts w:eastAsia="Arial"/>
          <w:sz w:val="22"/>
          <w:szCs w:val="22"/>
        </w:rPr>
        <w:t xml:space="preserve">Issued </w:t>
      </w:r>
      <w:r w:rsidR="006746BE">
        <w:rPr>
          <w:rFonts w:eastAsia="Arial"/>
          <w:sz w:val="22"/>
          <w:szCs w:val="22"/>
        </w:rPr>
        <w:t>March 6, 2019</w:t>
      </w:r>
    </w:p>
    <w:p w14:paraId="3DE75DC0" w14:textId="77777777" w:rsidR="002A21C2" w:rsidRDefault="002A21C2" w:rsidP="002A21C2">
      <w:pPr>
        <w:rPr>
          <w:b/>
          <w:smallCaps/>
          <w:color w:val="000000"/>
          <w:highlight w:val="yellow"/>
        </w:rPr>
      </w:pPr>
      <w:bookmarkStart w:id="1" w:name="_gjdgxs" w:colFirst="0" w:colLast="0"/>
      <w:bookmarkStart w:id="2" w:name="_30j0zll" w:colFirst="0" w:colLast="0"/>
      <w:bookmarkEnd w:id="1"/>
      <w:bookmarkEnd w:id="2"/>
    </w:p>
    <w:sdt>
      <w:sdtPr>
        <w:rPr>
          <w:rFonts w:ascii="Times New Roman" w:eastAsia="Times New Roman" w:hAnsi="Times New Roman" w:cs="Times New Roman"/>
          <w:color w:val="auto"/>
          <w:sz w:val="20"/>
          <w:szCs w:val="20"/>
        </w:rPr>
        <w:id w:val="-51540162"/>
        <w:docPartObj>
          <w:docPartGallery w:val="Table of Contents"/>
          <w:docPartUnique/>
        </w:docPartObj>
      </w:sdtPr>
      <w:sdtEndPr>
        <w:rPr>
          <w:b/>
          <w:bCs/>
          <w:noProof/>
          <w:sz w:val="24"/>
          <w:szCs w:val="24"/>
        </w:rPr>
      </w:sdtEndPr>
      <w:sdtContent>
        <w:p w14:paraId="16A2F93E" w14:textId="760E5CD6" w:rsidR="00F03F22" w:rsidRPr="0039730D" w:rsidRDefault="00043515">
          <w:pPr>
            <w:pStyle w:val="TOCHeading"/>
            <w:rPr>
              <w:rFonts w:ascii="Times New Roman" w:hAnsi="Times New Roman" w:cs="Times New Roman"/>
            </w:rPr>
          </w:pPr>
          <w:r>
            <w:rPr>
              <w:rFonts w:ascii="Times New Roman" w:hAnsi="Times New Roman" w:cs="Times New Roman"/>
            </w:rPr>
            <w:t xml:space="preserve">Table of </w:t>
          </w:r>
          <w:r w:rsidRPr="00881B01">
            <w:rPr>
              <w:rFonts w:ascii="Times New Roman" w:hAnsi="Times New Roman" w:cs="Times New Roman"/>
            </w:rPr>
            <w:t>C</w:t>
          </w:r>
          <w:r w:rsidR="00F03F22" w:rsidRPr="00881B01">
            <w:rPr>
              <w:rFonts w:ascii="Times New Roman" w:hAnsi="Times New Roman" w:cs="Times New Roman"/>
            </w:rPr>
            <w:t>ontents</w:t>
          </w:r>
        </w:p>
        <w:p w14:paraId="78F95C05" w14:textId="1F8BD6E9" w:rsidR="006746BE" w:rsidRPr="006746BE" w:rsidRDefault="00F03F22">
          <w:pPr>
            <w:pStyle w:val="TOC1"/>
            <w:rPr>
              <w:rFonts w:ascii="Times New Roman" w:hAnsi="Times New Roman"/>
              <w:noProof/>
              <w:sz w:val="24"/>
              <w:szCs w:val="24"/>
            </w:rPr>
          </w:pPr>
          <w:r w:rsidRPr="006746BE">
            <w:rPr>
              <w:rFonts w:ascii="Times New Roman" w:hAnsi="Times New Roman"/>
              <w:b/>
              <w:bCs/>
              <w:noProof/>
              <w:sz w:val="24"/>
              <w:szCs w:val="24"/>
            </w:rPr>
            <w:fldChar w:fldCharType="begin"/>
          </w:r>
          <w:r w:rsidRPr="006746BE">
            <w:rPr>
              <w:rFonts w:ascii="Times New Roman" w:hAnsi="Times New Roman"/>
              <w:b/>
              <w:bCs/>
              <w:noProof/>
              <w:sz w:val="24"/>
              <w:szCs w:val="24"/>
            </w:rPr>
            <w:instrText xml:space="preserve"> TOC \o "1-3" \h \z \u </w:instrText>
          </w:r>
          <w:r w:rsidRPr="006746BE">
            <w:rPr>
              <w:rFonts w:ascii="Times New Roman" w:hAnsi="Times New Roman"/>
              <w:b/>
              <w:bCs/>
              <w:noProof/>
              <w:sz w:val="24"/>
              <w:szCs w:val="24"/>
            </w:rPr>
            <w:fldChar w:fldCharType="separate"/>
          </w:r>
          <w:hyperlink w:anchor="_Toc2677814" w:history="1">
            <w:r w:rsidR="006746BE" w:rsidRPr="006746BE">
              <w:rPr>
                <w:rStyle w:val="Hyperlink"/>
                <w:rFonts w:ascii="Times New Roman" w:hAnsi="Times New Roman"/>
                <w:noProof/>
                <w:sz w:val="24"/>
                <w:szCs w:val="24"/>
              </w:rPr>
              <w:t>I.  Introduction, Eligibility, and Purpose</w:t>
            </w:r>
            <w:r w:rsidR="006746BE" w:rsidRPr="006746BE">
              <w:rPr>
                <w:rFonts w:ascii="Times New Roman" w:hAnsi="Times New Roman"/>
                <w:noProof/>
                <w:webHidden/>
                <w:sz w:val="24"/>
                <w:szCs w:val="24"/>
              </w:rPr>
              <w:tab/>
            </w:r>
            <w:r w:rsidR="006746BE" w:rsidRPr="006746BE">
              <w:rPr>
                <w:rFonts w:ascii="Times New Roman" w:hAnsi="Times New Roman"/>
                <w:noProof/>
                <w:webHidden/>
                <w:sz w:val="24"/>
                <w:szCs w:val="24"/>
              </w:rPr>
              <w:fldChar w:fldCharType="begin"/>
            </w:r>
            <w:r w:rsidR="006746BE" w:rsidRPr="006746BE">
              <w:rPr>
                <w:rFonts w:ascii="Times New Roman" w:hAnsi="Times New Roman"/>
                <w:noProof/>
                <w:webHidden/>
                <w:sz w:val="24"/>
                <w:szCs w:val="24"/>
              </w:rPr>
              <w:instrText xml:space="preserve"> PAGEREF _Toc2677814 \h </w:instrText>
            </w:r>
            <w:r w:rsidR="006746BE" w:rsidRPr="006746BE">
              <w:rPr>
                <w:rFonts w:ascii="Times New Roman" w:hAnsi="Times New Roman"/>
                <w:noProof/>
                <w:webHidden/>
                <w:sz w:val="24"/>
                <w:szCs w:val="24"/>
              </w:rPr>
            </w:r>
            <w:r w:rsidR="006746BE" w:rsidRPr="006746BE">
              <w:rPr>
                <w:rFonts w:ascii="Times New Roman" w:hAnsi="Times New Roman"/>
                <w:noProof/>
                <w:webHidden/>
                <w:sz w:val="24"/>
                <w:szCs w:val="24"/>
              </w:rPr>
              <w:fldChar w:fldCharType="separate"/>
            </w:r>
            <w:r w:rsidR="006746BE" w:rsidRPr="006746BE">
              <w:rPr>
                <w:rFonts w:ascii="Times New Roman" w:hAnsi="Times New Roman"/>
                <w:noProof/>
                <w:webHidden/>
                <w:sz w:val="24"/>
                <w:szCs w:val="24"/>
              </w:rPr>
              <w:t>3</w:t>
            </w:r>
            <w:r w:rsidR="006746BE" w:rsidRPr="006746BE">
              <w:rPr>
                <w:rFonts w:ascii="Times New Roman" w:hAnsi="Times New Roman"/>
                <w:noProof/>
                <w:webHidden/>
                <w:sz w:val="24"/>
                <w:szCs w:val="24"/>
              </w:rPr>
              <w:fldChar w:fldCharType="end"/>
            </w:r>
          </w:hyperlink>
        </w:p>
        <w:p w14:paraId="114C2CEC" w14:textId="7E216FE8" w:rsidR="006746BE" w:rsidRPr="006746BE" w:rsidRDefault="0020603E">
          <w:pPr>
            <w:pStyle w:val="TOC1"/>
            <w:rPr>
              <w:rFonts w:ascii="Times New Roman" w:hAnsi="Times New Roman"/>
              <w:noProof/>
              <w:sz w:val="24"/>
              <w:szCs w:val="24"/>
            </w:rPr>
          </w:pPr>
          <w:hyperlink w:anchor="_Toc2677815" w:history="1">
            <w:r w:rsidR="006746BE" w:rsidRPr="006746BE">
              <w:rPr>
                <w:rStyle w:val="Hyperlink"/>
                <w:rFonts w:ascii="Times New Roman" w:hAnsi="Times New Roman"/>
                <w:noProof/>
                <w:sz w:val="24"/>
                <w:szCs w:val="24"/>
              </w:rPr>
              <w:t>II. VOCA Eligibility, Program Requirements, Due Dates, and Other Information</w:t>
            </w:r>
            <w:r w:rsidR="006746BE" w:rsidRPr="006746BE">
              <w:rPr>
                <w:rFonts w:ascii="Times New Roman" w:hAnsi="Times New Roman"/>
                <w:noProof/>
                <w:webHidden/>
                <w:sz w:val="24"/>
                <w:szCs w:val="24"/>
              </w:rPr>
              <w:tab/>
            </w:r>
            <w:r w:rsidR="006746BE" w:rsidRPr="006746BE">
              <w:rPr>
                <w:rFonts w:ascii="Times New Roman" w:hAnsi="Times New Roman"/>
                <w:noProof/>
                <w:webHidden/>
                <w:sz w:val="24"/>
                <w:szCs w:val="24"/>
              </w:rPr>
              <w:fldChar w:fldCharType="begin"/>
            </w:r>
            <w:r w:rsidR="006746BE" w:rsidRPr="006746BE">
              <w:rPr>
                <w:rFonts w:ascii="Times New Roman" w:hAnsi="Times New Roman"/>
                <w:noProof/>
                <w:webHidden/>
                <w:sz w:val="24"/>
                <w:szCs w:val="24"/>
              </w:rPr>
              <w:instrText xml:space="preserve"> PAGEREF _Toc2677815 \h </w:instrText>
            </w:r>
            <w:r w:rsidR="006746BE" w:rsidRPr="006746BE">
              <w:rPr>
                <w:rFonts w:ascii="Times New Roman" w:hAnsi="Times New Roman"/>
                <w:noProof/>
                <w:webHidden/>
                <w:sz w:val="24"/>
                <w:szCs w:val="24"/>
              </w:rPr>
            </w:r>
            <w:r w:rsidR="006746BE" w:rsidRPr="006746BE">
              <w:rPr>
                <w:rFonts w:ascii="Times New Roman" w:hAnsi="Times New Roman"/>
                <w:noProof/>
                <w:webHidden/>
                <w:sz w:val="24"/>
                <w:szCs w:val="24"/>
              </w:rPr>
              <w:fldChar w:fldCharType="separate"/>
            </w:r>
            <w:r w:rsidR="006746BE" w:rsidRPr="006746BE">
              <w:rPr>
                <w:rFonts w:ascii="Times New Roman" w:hAnsi="Times New Roman"/>
                <w:noProof/>
                <w:webHidden/>
                <w:sz w:val="24"/>
                <w:szCs w:val="24"/>
              </w:rPr>
              <w:t>5</w:t>
            </w:r>
            <w:r w:rsidR="006746BE" w:rsidRPr="006746BE">
              <w:rPr>
                <w:rFonts w:ascii="Times New Roman" w:hAnsi="Times New Roman"/>
                <w:noProof/>
                <w:webHidden/>
                <w:sz w:val="24"/>
                <w:szCs w:val="24"/>
              </w:rPr>
              <w:fldChar w:fldCharType="end"/>
            </w:r>
          </w:hyperlink>
        </w:p>
        <w:p w14:paraId="32640C03" w14:textId="77094474" w:rsidR="006746BE" w:rsidRPr="006746BE" w:rsidRDefault="0020603E">
          <w:pPr>
            <w:pStyle w:val="TOC2"/>
            <w:tabs>
              <w:tab w:val="left" w:pos="660"/>
              <w:tab w:val="right" w:leader="dot" w:pos="9350"/>
            </w:tabs>
            <w:rPr>
              <w:rFonts w:eastAsiaTheme="minorEastAsia"/>
              <w:noProof/>
              <w:sz w:val="24"/>
              <w:szCs w:val="24"/>
            </w:rPr>
          </w:pPr>
          <w:hyperlink w:anchor="_Toc2677816" w:history="1">
            <w:r w:rsidR="006746BE" w:rsidRPr="006746BE">
              <w:rPr>
                <w:rStyle w:val="Hyperlink"/>
                <w:rFonts w:eastAsia="Arial"/>
                <w:noProof/>
                <w:sz w:val="24"/>
                <w:szCs w:val="24"/>
              </w:rPr>
              <w:t>1.</w:t>
            </w:r>
            <w:r w:rsidR="006746BE" w:rsidRPr="006746BE">
              <w:rPr>
                <w:rFonts w:eastAsiaTheme="minorEastAsia"/>
                <w:noProof/>
                <w:sz w:val="24"/>
                <w:szCs w:val="24"/>
              </w:rPr>
              <w:tab/>
            </w:r>
            <w:r w:rsidR="006746BE" w:rsidRPr="006746BE">
              <w:rPr>
                <w:rStyle w:val="Hyperlink"/>
                <w:rFonts w:eastAsia="Arial"/>
                <w:noProof/>
                <w:sz w:val="24"/>
                <w:szCs w:val="24"/>
              </w:rPr>
              <w:t>Sources of Funding and VOCA Background</w:t>
            </w:r>
            <w:r w:rsidR="006746BE" w:rsidRPr="006746BE">
              <w:rPr>
                <w:noProof/>
                <w:webHidden/>
                <w:sz w:val="24"/>
                <w:szCs w:val="24"/>
              </w:rPr>
              <w:tab/>
            </w:r>
            <w:r w:rsidR="006746BE" w:rsidRPr="006746BE">
              <w:rPr>
                <w:noProof/>
                <w:webHidden/>
                <w:sz w:val="24"/>
                <w:szCs w:val="24"/>
              </w:rPr>
              <w:fldChar w:fldCharType="begin"/>
            </w:r>
            <w:r w:rsidR="006746BE" w:rsidRPr="006746BE">
              <w:rPr>
                <w:noProof/>
                <w:webHidden/>
                <w:sz w:val="24"/>
                <w:szCs w:val="24"/>
              </w:rPr>
              <w:instrText xml:space="preserve"> PAGEREF _Toc2677816 \h </w:instrText>
            </w:r>
            <w:r w:rsidR="006746BE" w:rsidRPr="006746BE">
              <w:rPr>
                <w:noProof/>
                <w:webHidden/>
                <w:sz w:val="24"/>
                <w:szCs w:val="24"/>
              </w:rPr>
            </w:r>
            <w:r w:rsidR="006746BE" w:rsidRPr="006746BE">
              <w:rPr>
                <w:noProof/>
                <w:webHidden/>
                <w:sz w:val="24"/>
                <w:szCs w:val="24"/>
              </w:rPr>
              <w:fldChar w:fldCharType="separate"/>
            </w:r>
            <w:r w:rsidR="006746BE" w:rsidRPr="006746BE">
              <w:rPr>
                <w:noProof/>
                <w:webHidden/>
                <w:sz w:val="24"/>
                <w:szCs w:val="24"/>
              </w:rPr>
              <w:t>5</w:t>
            </w:r>
            <w:r w:rsidR="006746BE" w:rsidRPr="006746BE">
              <w:rPr>
                <w:noProof/>
                <w:webHidden/>
                <w:sz w:val="24"/>
                <w:szCs w:val="24"/>
              </w:rPr>
              <w:fldChar w:fldCharType="end"/>
            </w:r>
          </w:hyperlink>
        </w:p>
        <w:p w14:paraId="432DA45C" w14:textId="043874AC" w:rsidR="006746BE" w:rsidRPr="006746BE" w:rsidRDefault="0020603E">
          <w:pPr>
            <w:pStyle w:val="TOC2"/>
            <w:tabs>
              <w:tab w:val="left" w:pos="660"/>
              <w:tab w:val="right" w:leader="dot" w:pos="9350"/>
            </w:tabs>
            <w:rPr>
              <w:rFonts w:eastAsiaTheme="minorEastAsia"/>
              <w:noProof/>
              <w:sz w:val="24"/>
              <w:szCs w:val="24"/>
            </w:rPr>
          </w:pPr>
          <w:hyperlink w:anchor="_Toc2677817" w:history="1">
            <w:r w:rsidR="006746BE" w:rsidRPr="006746BE">
              <w:rPr>
                <w:rStyle w:val="Hyperlink"/>
                <w:rFonts w:eastAsia="Arial"/>
                <w:noProof/>
                <w:sz w:val="24"/>
                <w:szCs w:val="24"/>
              </w:rPr>
              <w:t>2.</w:t>
            </w:r>
            <w:r w:rsidR="006746BE" w:rsidRPr="006746BE">
              <w:rPr>
                <w:rFonts w:eastAsiaTheme="minorEastAsia"/>
                <w:noProof/>
                <w:sz w:val="24"/>
                <w:szCs w:val="24"/>
              </w:rPr>
              <w:tab/>
            </w:r>
            <w:r w:rsidR="006746BE" w:rsidRPr="006746BE">
              <w:rPr>
                <w:rStyle w:val="Hyperlink"/>
                <w:rFonts w:eastAsia="Arial"/>
                <w:noProof/>
                <w:sz w:val="24"/>
                <w:szCs w:val="24"/>
              </w:rPr>
              <w:t>Eligibility</w:t>
            </w:r>
            <w:r w:rsidR="006746BE" w:rsidRPr="006746BE">
              <w:rPr>
                <w:noProof/>
                <w:webHidden/>
                <w:sz w:val="24"/>
                <w:szCs w:val="24"/>
              </w:rPr>
              <w:tab/>
            </w:r>
            <w:r w:rsidR="006746BE" w:rsidRPr="006746BE">
              <w:rPr>
                <w:noProof/>
                <w:webHidden/>
                <w:sz w:val="24"/>
                <w:szCs w:val="24"/>
              </w:rPr>
              <w:fldChar w:fldCharType="begin"/>
            </w:r>
            <w:r w:rsidR="006746BE" w:rsidRPr="006746BE">
              <w:rPr>
                <w:noProof/>
                <w:webHidden/>
                <w:sz w:val="24"/>
                <w:szCs w:val="24"/>
              </w:rPr>
              <w:instrText xml:space="preserve"> PAGEREF _Toc2677817 \h </w:instrText>
            </w:r>
            <w:r w:rsidR="006746BE" w:rsidRPr="006746BE">
              <w:rPr>
                <w:noProof/>
                <w:webHidden/>
                <w:sz w:val="24"/>
                <w:szCs w:val="24"/>
              </w:rPr>
            </w:r>
            <w:r w:rsidR="006746BE" w:rsidRPr="006746BE">
              <w:rPr>
                <w:noProof/>
                <w:webHidden/>
                <w:sz w:val="24"/>
                <w:szCs w:val="24"/>
              </w:rPr>
              <w:fldChar w:fldCharType="separate"/>
            </w:r>
            <w:r w:rsidR="006746BE" w:rsidRPr="006746BE">
              <w:rPr>
                <w:noProof/>
                <w:webHidden/>
                <w:sz w:val="24"/>
                <w:szCs w:val="24"/>
              </w:rPr>
              <w:t>5</w:t>
            </w:r>
            <w:r w:rsidR="006746BE" w:rsidRPr="006746BE">
              <w:rPr>
                <w:noProof/>
                <w:webHidden/>
                <w:sz w:val="24"/>
                <w:szCs w:val="24"/>
              </w:rPr>
              <w:fldChar w:fldCharType="end"/>
            </w:r>
          </w:hyperlink>
        </w:p>
        <w:p w14:paraId="49072C05" w14:textId="47F4D967" w:rsidR="006746BE" w:rsidRPr="006746BE" w:rsidRDefault="0020603E">
          <w:pPr>
            <w:pStyle w:val="TOC2"/>
            <w:tabs>
              <w:tab w:val="left" w:pos="660"/>
              <w:tab w:val="right" w:leader="dot" w:pos="9350"/>
            </w:tabs>
            <w:rPr>
              <w:rFonts w:eastAsiaTheme="minorEastAsia"/>
              <w:noProof/>
              <w:sz w:val="24"/>
              <w:szCs w:val="24"/>
            </w:rPr>
          </w:pPr>
          <w:hyperlink w:anchor="_Toc2677818" w:history="1">
            <w:r w:rsidR="006746BE" w:rsidRPr="006746BE">
              <w:rPr>
                <w:rStyle w:val="Hyperlink"/>
                <w:rFonts w:eastAsia="Arial"/>
                <w:noProof/>
                <w:sz w:val="24"/>
                <w:szCs w:val="24"/>
              </w:rPr>
              <w:t>3.</w:t>
            </w:r>
            <w:r w:rsidR="006746BE" w:rsidRPr="006746BE">
              <w:rPr>
                <w:rFonts w:eastAsiaTheme="minorEastAsia"/>
                <w:noProof/>
                <w:sz w:val="24"/>
                <w:szCs w:val="24"/>
              </w:rPr>
              <w:tab/>
            </w:r>
            <w:r w:rsidR="006746BE" w:rsidRPr="006746BE">
              <w:rPr>
                <w:rStyle w:val="Hyperlink"/>
                <w:rFonts w:eastAsia="Arial"/>
                <w:noProof/>
                <w:sz w:val="24"/>
                <w:szCs w:val="24"/>
              </w:rPr>
              <w:t>Program Requirements</w:t>
            </w:r>
            <w:r w:rsidR="006746BE" w:rsidRPr="006746BE">
              <w:rPr>
                <w:noProof/>
                <w:webHidden/>
                <w:sz w:val="24"/>
                <w:szCs w:val="24"/>
              </w:rPr>
              <w:tab/>
            </w:r>
            <w:r w:rsidR="006746BE" w:rsidRPr="006746BE">
              <w:rPr>
                <w:noProof/>
                <w:webHidden/>
                <w:sz w:val="24"/>
                <w:szCs w:val="24"/>
              </w:rPr>
              <w:fldChar w:fldCharType="begin"/>
            </w:r>
            <w:r w:rsidR="006746BE" w:rsidRPr="006746BE">
              <w:rPr>
                <w:noProof/>
                <w:webHidden/>
                <w:sz w:val="24"/>
                <w:szCs w:val="24"/>
              </w:rPr>
              <w:instrText xml:space="preserve"> PAGEREF _Toc2677818 \h </w:instrText>
            </w:r>
            <w:r w:rsidR="006746BE" w:rsidRPr="006746BE">
              <w:rPr>
                <w:noProof/>
                <w:webHidden/>
                <w:sz w:val="24"/>
                <w:szCs w:val="24"/>
              </w:rPr>
            </w:r>
            <w:r w:rsidR="006746BE" w:rsidRPr="006746BE">
              <w:rPr>
                <w:noProof/>
                <w:webHidden/>
                <w:sz w:val="24"/>
                <w:szCs w:val="24"/>
              </w:rPr>
              <w:fldChar w:fldCharType="separate"/>
            </w:r>
            <w:r w:rsidR="006746BE" w:rsidRPr="006746BE">
              <w:rPr>
                <w:noProof/>
                <w:webHidden/>
                <w:sz w:val="24"/>
                <w:szCs w:val="24"/>
              </w:rPr>
              <w:t>6</w:t>
            </w:r>
            <w:r w:rsidR="006746BE" w:rsidRPr="006746BE">
              <w:rPr>
                <w:noProof/>
                <w:webHidden/>
                <w:sz w:val="24"/>
                <w:szCs w:val="24"/>
              </w:rPr>
              <w:fldChar w:fldCharType="end"/>
            </w:r>
          </w:hyperlink>
        </w:p>
        <w:p w14:paraId="3330AA69" w14:textId="545642D0" w:rsidR="006746BE" w:rsidRPr="006746BE" w:rsidRDefault="0020603E">
          <w:pPr>
            <w:pStyle w:val="TOC2"/>
            <w:tabs>
              <w:tab w:val="left" w:pos="660"/>
              <w:tab w:val="right" w:leader="dot" w:pos="9350"/>
            </w:tabs>
            <w:rPr>
              <w:rFonts w:eastAsiaTheme="minorEastAsia"/>
              <w:noProof/>
              <w:sz w:val="24"/>
              <w:szCs w:val="24"/>
            </w:rPr>
          </w:pPr>
          <w:hyperlink w:anchor="_Toc2677819" w:history="1">
            <w:r w:rsidR="006746BE" w:rsidRPr="006746BE">
              <w:rPr>
                <w:rStyle w:val="Hyperlink"/>
                <w:rFonts w:eastAsia="Arial"/>
                <w:noProof/>
                <w:sz w:val="24"/>
                <w:szCs w:val="24"/>
              </w:rPr>
              <w:t>4.</w:t>
            </w:r>
            <w:r w:rsidR="006746BE" w:rsidRPr="006746BE">
              <w:rPr>
                <w:rFonts w:eastAsiaTheme="minorEastAsia"/>
                <w:noProof/>
                <w:sz w:val="24"/>
                <w:szCs w:val="24"/>
              </w:rPr>
              <w:tab/>
            </w:r>
            <w:r w:rsidR="006746BE" w:rsidRPr="006746BE">
              <w:rPr>
                <w:rStyle w:val="Hyperlink"/>
                <w:rFonts w:eastAsia="Arial"/>
                <w:noProof/>
                <w:sz w:val="24"/>
                <w:szCs w:val="24"/>
              </w:rPr>
              <w:t>Projected Maximum Awards for FY 2020 and 2021</w:t>
            </w:r>
            <w:r w:rsidR="006746BE" w:rsidRPr="006746BE">
              <w:rPr>
                <w:noProof/>
                <w:webHidden/>
                <w:sz w:val="24"/>
                <w:szCs w:val="24"/>
              </w:rPr>
              <w:tab/>
            </w:r>
            <w:r w:rsidR="006746BE" w:rsidRPr="006746BE">
              <w:rPr>
                <w:noProof/>
                <w:webHidden/>
                <w:sz w:val="24"/>
                <w:szCs w:val="24"/>
              </w:rPr>
              <w:fldChar w:fldCharType="begin"/>
            </w:r>
            <w:r w:rsidR="006746BE" w:rsidRPr="006746BE">
              <w:rPr>
                <w:noProof/>
                <w:webHidden/>
                <w:sz w:val="24"/>
                <w:szCs w:val="24"/>
              </w:rPr>
              <w:instrText xml:space="preserve"> PAGEREF _Toc2677819 \h </w:instrText>
            </w:r>
            <w:r w:rsidR="006746BE" w:rsidRPr="006746BE">
              <w:rPr>
                <w:noProof/>
                <w:webHidden/>
                <w:sz w:val="24"/>
                <w:szCs w:val="24"/>
              </w:rPr>
            </w:r>
            <w:r w:rsidR="006746BE" w:rsidRPr="006746BE">
              <w:rPr>
                <w:noProof/>
                <w:webHidden/>
                <w:sz w:val="24"/>
                <w:szCs w:val="24"/>
              </w:rPr>
              <w:fldChar w:fldCharType="separate"/>
            </w:r>
            <w:r w:rsidR="006746BE" w:rsidRPr="006746BE">
              <w:rPr>
                <w:noProof/>
                <w:webHidden/>
                <w:sz w:val="24"/>
                <w:szCs w:val="24"/>
              </w:rPr>
              <w:t>7</w:t>
            </w:r>
            <w:r w:rsidR="006746BE" w:rsidRPr="006746BE">
              <w:rPr>
                <w:noProof/>
                <w:webHidden/>
                <w:sz w:val="24"/>
                <w:szCs w:val="24"/>
              </w:rPr>
              <w:fldChar w:fldCharType="end"/>
            </w:r>
          </w:hyperlink>
        </w:p>
        <w:p w14:paraId="6D065BE1" w14:textId="3D6412EB" w:rsidR="006746BE" w:rsidRPr="006746BE" w:rsidRDefault="0020603E">
          <w:pPr>
            <w:pStyle w:val="TOC2"/>
            <w:tabs>
              <w:tab w:val="left" w:pos="660"/>
              <w:tab w:val="right" w:leader="dot" w:pos="9350"/>
            </w:tabs>
            <w:rPr>
              <w:rFonts w:eastAsiaTheme="minorEastAsia"/>
              <w:noProof/>
              <w:sz w:val="24"/>
              <w:szCs w:val="24"/>
            </w:rPr>
          </w:pPr>
          <w:hyperlink w:anchor="_Toc2677820" w:history="1">
            <w:r w:rsidR="006746BE" w:rsidRPr="006746BE">
              <w:rPr>
                <w:rStyle w:val="Hyperlink"/>
                <w:rFonts w:eastAsia="Arial"/>
                <w:noProof/>
                <w:sz w:val="24"/>
                <w:szCs w:val="24"/>
              </w:rPr>
              <w:t>5.</w:t>
            </w:r>
            <w:r w:rsidR="006746BE" w:rsidRPr="006746BE">
              <w:rPr>
                <w:rFonts w:eastAsiaTheme="minorEastAsia"/>
                <w:noProof/>
                <w:sz w:val="24"/>
                <w:szCs w:val="24"/>
              </w:rPr>
              <w:tab/>
            </w:r>
            <w:r w:rsidR="006746BE" w:rsidRPr="006746BE">
              <w:rPr>
                <w:rStyle w:val="Hyperlink"/>
                <w:rFonts w:eastAsia="Arial"/>
                <w:noProof/>
                <w:sz w:val="24"/>
                <w:szCs w:val="24"/>
              </w:rPr>
              <w:t>Matching Funds</w:t>
            </w:r>
            <w:r w:rsidR="006746BE" w:rsidRPr="006746BE">
              <w:rPr>
                <w:noProof/>
                <w:webHidden/>
                <w:sz w:val="24"/>
                <w:szCs w:val="24"/>
              </w:rPr>
              <w:tab/>
            </w:r>
            <w:r w:rsidR="006746BE" w:rsidRPr="006746BE">
              <w:rPr>
                <w:noProof/>
                <w:webHidden/>
                <w:sz w:val="24"/>
                <w:szCs w:val="24"/>
              </w:rPr>
              <w:fldChar w:fldCharType="begin"/>
            </w:r>
            <w:r w:rsidR="006746BE" w:rsidRPr="006746BE">
              <w:rPr>
                <w:noProof/>
                <w:webHidden/>
                <w:sz w:val="24"/>
                <w:szCs w:val="24"/>
              </w:rPr>
              <w:instrText xml:space="preserve"> PAGEREF _Toc2677820 \h </w:instrText>
            </w:r>
            <w:r w:rsidR="006746BE" w:rsidRPr="006746BE">
              <w:rPr>
                <w:noProof/>
                <w:webHidden/>
                <w:sz w:val="24"/>
                <w:szCs w:val="24"/>
              </w:rPr>
            </w:r>
            <w:r w:rsidR="006746BE" w:rsidRPr="006746BE">
              <w:rPr>
                <w:noProof/>
                <w:webHidden/>
                <w:sz w:val="24"/>
                <w:szCs w:val="24"/>
              </w:rPr>
              <w:fldChar w:fldCharType="separate"/>
            </w:r>
            <w:r w:rsidR="006746BE" w:rsidRPr="006746BE">
              <w:rPr>
                <w:noProof/>
                <w:webHidden/>
                <w:sz w:val="24"/>
                <w:szCs w:val="24"/>
              </w:rPr>
              <w:t>7</w:t>
            </w:r>
            <w:r w:rsidR="006746BE" w:rsidRPr="006746BE">
              <w:rPr>
                <w:noProof/>
                <w:webHidden/>
                <w:sz w:val="24"/>
                <w:szCs w:val="24"/>
              </w:rPr>
              <w:fldChar w:fldCharType="end"/>
            </w:r>
          </w:hyperlink>
        </w:p>
        <w:p w14:paraId="27FFA97F" w14:textId="65484E6F" w:rsidR="006746BE" w:rsidRPr="006746BE" w:rsidRDefault="0020603E">
          <w:pPr>
            <w:pStyle w:val="TOC2"/>
            <w:tabs>
              <w:tab w:val="left" w:pos="660"/>
              <w:tab w:val="right" w:leader="dot" w:pos="9350"/>
            </w:tabs>
            <w:rPr>
              <w:rFonts w:eastAsiaTheme="minorEastAsia"/>
              <w:noProof/>
              <w:sz w:val="24"/>
              <w:szCs w:val="24"/>
            </w:rPr>
          </w:pPr>
          <w:hyperlink w:anchor="_Toc2677821" w:history="1">
            <w:r w:rsidR="006746BE" w:rsidRPr="006746BE">
              <w:rPr>
                <w:rStyle w:val="Hyperlink"/>
                <w:rFonts w:eastAsia="Arial"/>
                <w:noProof/>
                <w:sz w:val="24"/>
                <w:szCs w:val="24"/>
              </w:rPr>
              <w:t>6.</w:t>
            </w:r>
            <w:r w:rsidR="006746BE" w:rsidRPr="006746BE">
              <w:rPr>
                <w:rFonts w:eastAsiaTheme="minorEastAsia"/>
                <w:noProof/>
                <w:sz w:val="24"/>
                <w:szCs w:val="24"/>
              </w:rPr>
              <w:tab/>
            </w:r>
            <w:r w:rsidR="006746BE" w:rsidRPr="006746BE">
              <w:rPr>
                <w:rStyle w:val="Hyperlink"/>
                <w:rFonts w:eastAsia="Arial"/>
                <w:noProof/>
                <w:sz w:val="24"/>
                <w:szCs w:val="24"/>
              </w:rPr>
              <w:t>Budgeting Flexibility</w:t>
            </w:r>
            <w:r w:rsidR="006746BE" w:rsidRPr="006746BE">
              <w:rPr>
                <w:noProof/>
                <w:webHidden/>
                <w:sz w:val="24"/>
                <w:szCs w:val="24"/>
              </w:rPr>
              <w:tab/>
            </w:r>
            <w:r w:rsidR="006746BE" w:rsidRPr="006746BE">
              <w:rPr>
                <w:noProof/>
                <w:webHidden/>
                <w:sz w:val="24"/>
                <w:szCs w:val="24"/>
              </w:rPr>
              <w:fldChar w:fldCharType="begin"/>
            </w:r>
            <w:r w:rsidR="006746BE" w:rsidRPr="006746BE">
              <w:rPr>
                <w:noProof/>
                <w:webHidden/>
                <w:sz w:val="24"/>
                <w:szCs w:val="24"/>
              </w:rPr>
              <w:instrText xml:space="preserve"> PAGEREF _Toc2677821 \h </w:instrText>
            </w:r>
            <w:r w:rsidR="006746BE" w:rsidRPr="006746BE">
              <w:rPr>
                <w:noProof/>
                <w:webHidden/>
                <w:sz w:val="24"/>
                <w:szCs w:val="24"/>
              </w:rPr>
            </w:r>
            <w:r w:rsidR="006746BE" w:rsidRPr="006746BE">
              <w:rPr>
                <w:noProof/>
                <w:webHidden/>
                <w:sz w:val="24"/>
                <w:szCs w:val="24"/>
              </w:rPr>
              <w:fldChar w:fldCharType="separate"/>
            </w:r>
            <w:r w:rsidR="006746BE" w:rsidRPr="006746BE">
              <w:rPr>
                <w:noProof/>
                <w:webHidden/>
                <w:sz w:val="24"/>
                <w:szCs w:val="24"/>
              </w:rPr>
              <w:t>8</w:t>
            </w:r>
            <w:r w:rsidR="006746BE" w:rsidRPr="006746BE">
              <w:rPr>
                <w:noProof/>
                <w:webHidden/>
                <w:sz w:val="24"/>
                <w:szCs w:val="24"/>
              </w:rPr>
              <w:fldChar w:fldCharType="end"/>
            </w:r>
          </w:hyperlink>
        </w:p>
        <w:p w14:paraId="16163033" w14:textId="13EDD774" w:rsidR="006746BE" w:rsidRPr="006746BE" w:rsidRDefault="0020603E">
          <w:pPr>
            <w:pStyle w:val="TOC2"/>
            <w:tabs>
              <w:tab w:val="left" w:pos="660"/>
              <w:tab w:val="right" w:leader="dot" w:pos="9350"/>
            </w:tabs>
            <w:rPr>
              <w:rFonts w:eastAsiaTheme="minorEastAsia"/>
              <w:noProof/>
              <w:sz w:val="24"/>
              <w:szCs w:val="24"/>
            </w:rPr>
          </w:pPr>
          <w:hyperlink w:anchor="_Toc2677822" w:history="1">
            <w:r w:rsidR="006746BE" w:rsidRPr="006746BE">
              <w:rPr>
                <w:rStyle w:val="Hyperlink"/>
                <w:rFonts w:eastAsia="Arial"/>
                <w:noProof/>
                <w:sz w:val="24"/>
                <w:szCs w:val="24"/>
              </w:rPr>
              <w:t>7.</w:t>
            </w:r>
            <w:r w:rsidR="006746BE" w:rsidRPr="006746BE">
              <w:rPr>
                <w:rFonts w:eastAsiaTheme="minorEastAsia"/>
                <w:noProof/>
                <w:sz w:val="24"/>
                <w:szCs w:val="24"/>
              </w:rPr>
              <w:tab/>
            </w:r>
            <w:r w:rsidR="006746BE" w:rsidRPr="006746BE">
              <w:rPr>
                <w:rStyle w:val="Hyperlink"/>
                <w:rFonts w:eastAsia="Arial"/>
                <w:noProof/>
                <w:sz w:val="24"/>
                <w:szCs w:val="24"/>
              </w:rPr>
              <w:t>Deadline</w:t>
            </w:r>
            <w:r w:rsidR="006746BE" w:rsidRPr="006746BE">
              <w:rPr>
                <w:noProof/>
                <w:webHidden/>
                <w:sz w:val="24"/>
                <w:szCs w:val="24"/>
              </w:rPr>
              <w:tab/>
            </w:r>
            <w:r w:rsidR="006746BE" w:rsidRPr="006746BE">
              <w:rPr>
                <w:noProof/>
                <w:webHidden/>
                <w:sz w:val="24"/>
                <w:szCs w:val="24"/>
              </w:rPr>
              <w:fldChar w:fldCharType="begin"/>
            </w:r>
            <w:r w:rsidR="006746BE" w:rsidRPr="006746BE">
              <w:rPr>
                <w:noProof/>
                <w:webHidden/>
                <w:sz w:val="24"/>
                <w:szCs w:val="24"/>
              </w:rPr>
              <w:instrText xml:space="preserve"> PAGEREF _Toc2677822 \h </w:instrText>
            </w:r>
            <w:r w:rsidR="006746BE" w:rsidRPr="006746BE">
              <w:rPr>
                <w:noProof/>
                <w:webHidden/>
                <w:sz w:val="24"/>
                <w:szCs w:val="24"/>
              </w:rPr>
            </w:r>
            <w:r w:rsidR="006746BE" w:rsidRPr="006746BE">
              <w:rPr>
                <w:noProof/>
                <w:webHidden/>
                <w:sz w:val="24"/>
                <w:szCs w:val="24"/>
              </w:rPr>
              <w:fldChar w:fldCharType="separate"/>
            </w:r>
            <w:r w:rsidR="006746BE" w:rsidRPr="006746BE">
              <w:rPr>
                <w:noProof/>
                <w:webHidden/>
                <w:sz w:val="24"/>
                <w:szCs w:val="24"/>
              </w:rPr>
              <w:t>9</w:t>
            </w:r>
            <w:r w:rsidR="006746BE" w:rsidRPr="006746BE">
              <w:rPr>
                <w:noProof/>
                <w:webHidden/>
                <w:sz w:val="24"/>
                <w:szCs w:val="24"/>
              </w:rPr>
              <w:fldChar w:fldCharType="end"/>
            </w:r>
          </w:hyperlink>
        </w:p>
        <w:p w14:paraId="6C43DDCE" w14:textId="7FE0396F" w:rsidR="006746BE" w:rsidRPr="006746BE" w:rsidRDefault="0020603E">
          <w:pPr>
            <w:pStyle w:val="TOC2"/>
            <w:tabs>
              <w:tab w:val="left" w:pos="660"/>
              <w:tab w:val="right" w:leader="dot" w:pos="9350"/>
            </w:tabs>
            <w:rPr>
              <w:rFonts w:eastAsiaTheme="minorEastAsia"/>
              <w:noProof/>
              <w:sz w:val="24"/>
              <w:szCs w:val="24"/>
            </w:rPr>
          </w:pPr>
          <w:hyperlink w:anchor="_Toc2677823" w:history="1">
            <w:r w:rsidR="006746BE" w:rsidRPr="006746BE">
              <w:rPr>
                <w:rStyle w:val="Hyperlink"/>
                <w:rFonts w:eastAsia="Arial"/>
                <w:noProof/>
                <w:sz w:val="24"/>
                <w:szCs w:val="24"/>
              </w:rPr>
              <w:t>8.</w:t>
            </w:r>
            <w:r w:rsidR="006746BE" w:rsidRPr="006746BE">
              <w:rPr>
                <w:rFonts w:eastAsiaTheme="minorEastAsia"/>
                <w:noProof/>
                <w:sz w:val="24"/>
                <w:szCs w:val="24"/>
              </w:rPr>
              <w:tab/>
            </w:r>
            <w:r w:rsidR="006746BE" w:rsidRPr="006746BE">
              <w:rPr>
                <w:rStyle w:val="Hyperlink"/>
                <w:rFonts w:eastAsia="Arial"/>
                <w:noProof/>
                <w:sz w:val="24"/>
                <w:szCs w:val="24"/>
              </w:rPr>
              <w:t>Reporting Requirements</w:t>
            </w:r>
            <w:r w:rsidR="006746BE" w:rsidRPr="006746BE">
              <w:rPr>
                <w:noProof/>
                <w:webHidden/>
                <w:sz w:val="24"/>
                <w:szCs w:val="24"/>
              </w:rPr>
              <w:tab/>
            </w:r>
            <w:r w:rsidR="006746BE" w:rsidRPr="006746BE">
              <w:rPr>
                <w:noProof/>
                <w:webHidden/>
                <w:sz w:val="24"/>
                <w:szCs w:val="24"/>
              </w:rPr>
              <w:fldChar w:fldCharType="begin"/>
            </w:r>
            <w:r w:rsidR="006746BE" w:rsidRPr="006746BE">
              <w:rPr>
                <w:noProof/>
                <w:webHidden/>
                <w:sz w:val="24"/>
                <w:szCs w:val="24"/>
              </w:rPr>
              <w:instrText xml:space="preserve"> PAGEREF _Toc2677823 \h </w:instrText>
            </w:r>
            <w:r w:rsidR="006746BE" w:rsidRPr="006746BE">
              <w:rPr>
                <w:noProof/>
                <w:webHidden/>
                <w:sz w:val="24"/>
                <w:szCs w:val="24"/>
              </w:rPr>
            </w:r>
            <w:r w:rsidR="006746BE" w:rsidRPr="006746BE">
              <w:rPr>
                <w:noProof/>
                <w:webHidden/>
                <w:sz w:val="24"/>
                <w:szCs w:val="24"/>
              </w:rPr>
              <w:fldChar w:fldCharType="separate"/>
            </w:r>
            <w:r w:rsidR="006746BE" w:rsidRPr="006746BE">
              <w:rPr>
                <w:noProof/>
                <w:webHidden/>
                <w:sz w:val="24"/>
                <w:szCs w:val="24"/>
              </w:rPr>
              <w:t>9</w:t>
            </w:r>
            <w:r w:rsidR="006746BE" w:rsidRPr="006746BE">
              <w:rPr>
                <w:noProof/>
                <w:webHidden/>
                <w:sz w:val="24"/>
                <w:szCs w:val="24"/>
              </w:rPr>
              <w:fldChar w:fldCharType="end"/>
            </w:r>
          </w:hyperlink>
        </w:p>
        <w:p w14:paraId="02A11A68" w14:textId="1FDEBD0D" w:rsidR="006746BE" w:rsidRPr="006746BE" w:rsidRDefault="0020603E">
          <w:pPr>
            <w:pStyle w:val="TOC2"/>
            <w:tabs>
              <w:tab w:val="left" w:pos="660"/>
              <w:tab w:val="right" w:leader="dot" w:pos="9350"/>
            </w:tabs>
            <w:rPr>
              <w:rFonts w:eastAsiaTheme="minorEastAsia"/>
              <w:noProof/>
              <w:sz w:val="24"/>
              <w:szCs w:val="24"/>
            </w:rPr>
          </w:pPr>
          <w:hyperlink w:anchor="_Toc2677824" w:history="1">
            <w:r w:rsidR="006746BE" w:rsidRPr="006746BE">
              <w:rPr>
                <w:rStyle w:val="Hyperlink"/>
                <w:rFonts w:eastAsia="Arial"/>
                <w:noProof/>
                <w:sz w:val="24"/>
                <w:szCs w:val="24"/>
              </w:rPr>
              <w:t>9.</w:t>
            </w:r>
            <w:r w:rsidR="006746BE" w:rsidRPr="006746BE">
              <w:rPr>
                <w:rFonts w:eastAsiaTheme="minorEastAsia"/>
                <w:noProof/>
                <w:sz w:val="24"/>
                <w:szCs w:val="24"/>
              </w:rPr>
              <w:tab/>
            </w:r>
            <w:r w:rsidR="006746BE" w:rsidRPr="006746BE">
              <w:rPr>
                <w:rStyle w:val="Hyperlink"/>
                <w:rFonts w:eastAsia="Arial"/>
                <w:noProof/>
                <w:sz w:val="24"/>
                <w:szCs w:val="24"/>
              </w:rPr>
              <w:t>Grant Application Review Process</w:t>
            </w:r>
            <w:r w:rsidR="006746BE" w:rsidRPr="006746BE">
              <w:rPr>
                <w:noProof/>
                <w:webHidden/>
                <w:sz w:val="24"/>
                <w:szCs w:val="24"/>
              </w:rPr>
              <w:tab/>
            </w:r>
            <w:r w:rsidR="006746BE" w:rsidRPr="006746BE">
              <w:rPr>
                <w:noProof/>
                <w:webHidden/>
                <w:sz w:val="24"/>
                <w:szCs w:val="24"/>
              </w:rPr>
              <w:fldChar w:fldCharType="begin"/>
            </w:r>
            <w:r w:rsidR="006746BE" w:rsidRPr="006746BE">
              <w:rPr>
                <w:noProof/>
                <w:webHidden/>
                <w:sz w:val="24"/>
                <w:szCs w:val="24"/>
              </w:rPr>
              <w:instrText xml:space="preserve"> PAGEREF _Toc2677824 \h </w:instrText>
            </w:r>
            <w:r w:rsidR="006746BE" w:rsidRPr="006746BE">
              <w:rPr>
                <w:noProof/>
                <w:webHidden/>
                <w:sz w:val="24"/>
                <w:szCs w:val="24"/>
              </w:rPr>
            </w:r>
            <w:r w:rsidR="006746BE" w:rsidRPr="006746BE">
              <w:rPr>
                <w:noProof/>
                <w:webHidden/>
                <w:sz w:val="24"/>
                <w:szCs w:val="24"/>
              </w:rPr>
              <w:fldChar w:fldCharType="separate"/>
            </w:r>
            <w:r w:rsidR="006746BE" w:rsidRPr="006746BE">
              <w:rPr>
                <w:noProof/>
                <w:webHidden/>
                <w:sz w:val="24"/>
                <w:szCs w:val="24"/>
              </w:rPr>
              <w:t>10</w:t>
            </w:r>
            <w:r w:rsidR="006746BE" w:rsidRPr="006746BE">
              <w:rPr>
                <w:noProof/>
                <w:webHidden/>
                <w:sz w:val="24"/>
                <w:szCs w:val="24"/>
              </w:rPr>
              <w:fldChar w:fldCharType="end"/>
            </w:r>
          </w:hyperlink>
        </w:p>
        <w:p w14:paraId="797EB0EA" w14:textId="2038592D" w:rsidR="006746BE" w:rsidRPr="006746BE" w:rsidRDefault="0020603E">
          <w:pPr>
            <w:pStyle w:val="TOC1"/>
            <w:rPr>
              <w:rFonts w:ascii="Times New Roman" w:hAnsi="Times New Roman"/>
              <w:noProof/>
              <w:sz w:val="24"/>
              <w:szCs w:val="24"/>
            </w:rPr>
          </w:pPr>
          <w:hyperlink w:anchor="_Toc2677825" w:history="1">
            <w:r w:rsidR="006746BE" w:rsidRPr="006746BE">
              <w:rPr>
                <w:rStyle w:val="Hyperlink"/>
                <w:rFonts w:ascii="Times New Roman" w:hAnsi="Times New Roman"/>
                <w:noProof/>
                <w:sz w:val="24"/>
                <w:szCs w:val="24"/>
              </w:rPr>
              <w:t>III. Application Guidelines and Forms</w:t>
            </w:r>
            <w:r w:rsidR="006746BE" w:rsidRPr="006746BE">
              <w:rPr>
                <w:rFonts w:ascii="Times New Roman" w:hAnsi="Times New Roman"/>
                <w:noProof/>
                <w:webHidden/>
                <w:sz w:val="24"/>
                <w:szCs w:val="24"/>
              </w:rPr>
              <w:tab/>
            </w:r>
            <w:r w:rsidR="006746BE" w:rsidRPr="006746BE">
              <w:rPr>
                <w:rFonts w:ascii="Times New Roman" w:hAnsi="Times New Roman"/>
                <w:noProof/>
                <w:webHidden/>
                <w:sz w:val="24"/>
                <w:szCs w:val="24"/>
              </w:rPr>
              <w:fldChar w:fldCharType="begin"/>
            </w:r>
            <w:r w:rsidR="006746BE" w:rsidRPr="006746BE">
              <w:rPr>
                <w:rFonts w:ascii="Times New Roman" w:hAnsi="Times New Roman"/>
                <w:noProof/>
                <w:webHidden/>
                <w:sz w:val="24"/>
                <w:szCs w:val="24"/>
              </w:rPr>
              <w:instrText xml:space="preserve"> PAGEREF _Toc2677825 \h </w:instrText>
            </w:r>
            <w:r w:rsidR="006746BE" w:rsidRPr="006746BE">
              <w:rPr>
                <w:rFonts w:ascii="Times New Roman" w:hAnsi="Times New Roman"/>
                <w:noProof/>
                <w:webHidden/>
                <w:sz w:val="24"/>
                <w:szCs w:val="24"/>
              </w:rPr>
            </w:r>
            <w:r w:rsidR="006746BE" w:rsidRPr="006746BE">
              <w:rPr>
                <w:rFonts w:ascii="Times New Roman" w:hAnsi="Times New Roman"/>
                <w:noProof/>
                <w:webHidden/>
                <w:sz w:val="24"/>
                <w:szCs w:val="24"/>
              </w:rPr>
              <w:fldChar w:fldCharType="separate"/>
            </w:r>
            <w:r w:rsidR="006746BE" w:rsidRPr="006746BE">
              <w:rPr>
                <w:rFonts w:ascii="Times New Roman" w:hAnsi="Times New Roman"/>
                <w:noProof/>
                <w:webHidden/>
                <w:sz w:val="24"/>
                <w:szCs w:val="24"/>
              </w:rPr>
              <w:t>11</w:t>
            </w:r>
            <w:r w:rsidR="006746BE" w:rsidRPr="006746BE">
              <w:rPr>
                <w:rFonts w:ascii="Times New Roman" w:hAnsi="Times New Roman"/>
                <w:noProof/>
                <w:webHidden/>
                <w:sz w:val="24"/>
                <w:szCs w:val="24"/>
              </w:rPr>
              <w:fldChar w:fldCharType="end"/>
            </w:r>
          </w:hyperlink>
        </w:p>
        <w:p w14:paraId="05407D7E" w14:textId="56DD0AEF" w:rsidR="00F03F22" w:rsidRPr="0039730D" w:rsidRDefault="00F03F22">
          <w:pPr>
            <w:rPr>
              <w:sz w:val="24"/>
              <w:szCs w:val="24"/>
            </w:rPr>
          </w:pPr>
          <w:r w:rsidRPr="006746BE">
            <w:rPr>
              <w:b/>
              <w:bCs/>
              <w:noProof/>
              <w:sz w:val="24"/>
              <w:szCs w:val="24"/>
            </w:rPr>
            <w:fldChar w:fldCharType="end"/>
          </w:r>
        </w:p>
      </w:sdtContent>
    </w:sdt>
    <w:p w14:paraId="433AAEEF" w14:textId="2FE5AAD6" w:rsidR="001363DD" w:rsidRDefault="001363DD" w:rsidP="002A21C2">
      <w:pPr>
        <w:rPr>
          <w:rFonts w:eastAsia="Arial"/>
          <w:b/>
          <w:color w:val="4A86E8"/>
          <w:sz w:val="28"/>
          <w:szCs w:val="28"/>
        </w:rPr>
      </w:pPr>
      <w:r>
        <w:rPr>
          <w:color w:val="4A86E8"/>
        </w:rPr>
        <w:br w:type="page"/>
      </w:r>
    </w:p>
    <w:p w14:paraId="3D7DB24B" w14:textId="0AFD5902" w:rsidR="00BC10B9" w:rsidRPr="007B6F25" w:rsidRDefault="00D94B2F" w:rsidP="00A8140A">
      <w:pPr>
        <w:pStyle w:val="Heading1"/>
        <w:spacing w:after="0"/>
        <w:rPr>
          <w:rFonts w:ascii="Times New Roman" w:hAnsi="Times New Roman" w:cs="Times New Roman"/>
          <w:sz w:val="24"/>
          <w:szCs w:val="24"/>
        </w:rPr>
      </w:pPr>
      <w:bookmarkStart w:id="3" w:name="_Toc2677814"/>
      <w:r w:rsidRPr="007B6F25">
        <w:rPr>
          <w:rFonts w:ascii="Times New Roman" w:hAnsi="Times New Roman" w:cs="Times New Roman"/>
          <w:sz w:val="24"/>
          <w:szCs w:val="24"/>
        </w:rPr>
        <w:lastRenderedPageBreak/>
        <w:t xml:space="preserve">I.  Introduction, Eligibility, and </w:t>
      </w:r>
      <w:r w:rsidR="00343567" w:rsidRPr="007B6F25">
        <w:rPr>
          <w:rFonts w:ascii="Times New Roman" w:hAnsi="Times New Roman" w:cs="Times New Roman"/>
          <w:sz w:val="24"/>
          <w:szCs w:val="24"/>
        </w:rPr>
        <w:t>Purpose</w:t>
      </w:r>
      <w:bookmarkEnd w:id="3"/>
      <w:r w:rsidRPr="007B6F25">
        <w:rPr>
          <w:rFonts w:ascii="Times New Roman" w:hAnsi="Times New Roman" w:cs="Times New Roman"/>
          <w:sz w:val="24"/>
          <w:szCs w:val="24"/>
        </w:rPr>
        <w:t xml:space="preserve"> </w:t>
      </w:r>
    </w:p>
    <w:p w14:paraId="23B2564D" w14:textId="77777777" w:rsidR="00A8140A" w:rsidRDefault="00A8140A" w:rsidP="00A8140A">
      <w:pPr>
        <w:autoSpaceDE w:val="0"/>
        <w:autoSpaceDN w:val="0"/>
        <w:adjustRightInd w:val="0"/>
        <w:rPr>
          <w:rFonts w:eastAsia="Arial"/>
          <w:sz w:val="22"/>
          <w:szCs w:val="22"/>
        </w:rPr>
      </w:pPr>
    </w:p>
    <w:p w14:paraId="4C2F3CF0" w14:textId="7554C7F5" w:rsidR="00043515" w:rsidRPr="00043515" w:rsidRDefault="00043515" w:rsidP="00043515">
      <w:pPr>
        <w:autoSpaceDE w:val="0"/>
        <w:autoSpaceDN w:val="0"/>
        <w:adjustRightInd w:val="0"/>
        <w:rPr>
          <w:rFonts w:eastAsia="Arial"/>
          <w:sz w:val="22"/>
          <w:szCs w:val="22"/>
        </w:rPr>
      </w:pPr>
      <w:r>
        <w:rPr>
          <w:rFonts w:eastAsia="Arial"/>
          <w:sz w:val="22"/>
          <w:szCs w:val="22"/>
        </w:rPr>
        <w:t xml:space="preserve">Interpersonal </w:t>
      </w:r>
      <w:r w:rsidRPr="00043515">
        <w:rPr>
          <w:rFonts w:eastAsia="Arial"/>
          <w:sz w:val="22"/>
          <w:szCs w:val="22"/>
        </w:rPr>
        <w:t>violence has long been viewed as public health issue. In order to address the devastating consequences</w:t>
      </w:r>
      <w:r>
        <w:rPr>
          <w:rFonts w:eastAsia="Arial"/>
          <w:sz w:val="22"/>
          <w:szCs w:val="22"/>
        </w:rPr>
        <w:t xml:space="preserve"> of violence, hospitals in high-</w:t>
      </w:r>
      <w:r w:rsidRPr="00043515">
        <w:rPr>
          <w:rFonts w:eastAsia="Arial"/>
          <w:sz w:val="22"/>
          <w:szCs w:val="22"/>
        </w:rPr>
        <w:t xml:space="preserve">violence areas have seen tremendous success after </w:t>
      </w:r>
      <w:r>
        <w:rPr>
          <w:rFonts w:eastAsia="Arial"/>
          <w:sz w:val="22"/>
          <w:szCs w:val="22"/>
        </w:rPr>
        <w:t>implementing</w:t>
      </w:r>
      <w:r w:rsidRPr="00043515">
        <w:rPr>
          <w:rFonts w:eastAsia="Arial"/>
          <w:sz w:val="22"/>
          <w:szCs w:val="22"/>
        </w:rPr>
        <w:t xml:space="preserve"> hospital-based violence intervention programs (HVIP</w:t>
      </w:r>
      <w:r w:rsidR="00554486">
        <w:rPr>
          <w:rFonts w:eastAsia="Arial"/>
          <w:sz w:val="22"/>
          <w:szCs w:val="22"/>
        </w:rPr>
        <w:t>s</w:t>
      </w:r>
      <w:r w:rsidRPr="00043515">
        <w:rPr>
          <w:rFonts w:eastAsia="Arial"/>
          <w:sz w:val="22"/>
          <w:szCs w:val="22"/>
        </w:rPr>
        <w:t>). The HVIP model can significantly improve patient outcomes by reducing incidents of re-injury and retaliation. Stu</w:t>
      </w:r>
      <w:r w:rsidR="0013646D">
        <w:rPr>
          <w:rFonts w:eastAsia="Arial"/>
          <w:sz w:val="22"/>
          <w:szCs w:val="22"/>
        </w:rPr>
        <w:t xml:space="preserve">dies suggest that HVIPs </w:t>
      </w:r>
      <w:r w:rsidRPr="00043515">
        <w:rPr>
          <w:rFonts w:eastAsia="Arial"/>
          <w:sz w:val="22"/>
          <w:szCs w:val="22"/>
        </w:rPr>
        <w:t xml:space="preserve">can result in decreased costs associated with healthcare and criminal justice expenses. </w:t>
      </w:r>
    </w:p>
    <w:p w14:paraId="48B8C675" w14:textId="77777777" w:rsidR="00043515" w:rsidRDefault="00043515" w:rsidP="00A8140A">
      <w:pPr>
        <w:autoSpaceDE w:val="0"/>
        <w:autoSpaceDN w:val="0"/>
        <w:adjustRightInd w:val="0"/>
        <w:rPr>
          <w:rFonts w:eastAsia="Arial"/>
          <w:sz w:val="22"/>
          <w:szCs w:val="22"/>
        </w:rPr>
      </w:pPr>
    </w:p>
    <w:p w14:paraId="671908E3" w14:textId="5D9B5A89" w:rsidR="00BC10B9" w:rsidRPr="00E15F23" w:rsidRDefault="00343567" w:rsidP="00A8140A">
      <w:pPr>
        <w:rPr>
          <w:rFonts w:eastAsia="Arial"/>
          <w:sz w:val="22"/>
          <w:szCs w:val="22"/>
        </w:rPr>
      </w:pPr>
      <w:r w:rsidRPr="00E15F23">
        <w:rPr>
          <w:rFonts w:eastAsia="Arial"/>
          <w:sz w:val="22"/>
          <w:szCs w:val="22"/>
        </w:rPr>
        <w:t xml:space="preserve">These Victims of Crime Act (VOCA) </w:t>
      </w:r>
      <w:r w:rsidR="00043515">
        <w:rPr>
          <w:rFonts w:eastAsia="Arial"/>
          <w:sz w:val="22"/>
          <w:szCs w:val="22"/>
        </w:rPr>
        <w:t>Hospital-Based Violence Intervention</w:t>
      </w:r>
      <w:r w:rsidR="00757CB5" w:rsidRPr="00757CB5">
        <w:rPr>
          <w:rFonts w:eastAsia="Arial"/>
          <w:sz w:val="22"/>
          <w:szCs w:val="22"/>
        </w:rPr>
        <w:t xml:space="preserve"> Grant Program </w:t>
      </w:r>
      <w:r w:rsidR="00A93859" w:rsidRPr="00E15F23">
        <w:rPr>
          <w:rFonts w:eastAsia="Arial"/>
          <w:sz w:val="22"/>
          <w:szCs w:val="22"/>
        </w:rPr>
        <w:t>g</w:t>
      </w:r>
      <w:r w:rsidRPr="00E15F23">
        <w:rPr>
          <w:rFonts w:eastAsia="Arial"/>
          <w:sz w:val="22"/>
          <w:szCs w:val="22"/>
        </w:rPr>
        <w:t xml:space="preserve">uidelines and </w:t>
      </w:r>
      <w:r w:rsidR="00A93859" w:rsidRPr="00E15F23">
        <w:rPr>
          <w:rFonts w:eastAsia="Arial"/>
          <w:sz w:val="22"/>
          <w:szCs w:val="22"/>
        </w:rPr>
        <w:t>a</w:t>
      </w:r>
      <w:r w:rsidRPr="00E15F23">
        <w:rPr>
          <w:rFonts w:eastAsia="Arial"/>
          <w:sz w:val="22"/>
          <w:szCs w:val="22"/>
        </w:rPr>
        <w:t xml:space="preserve">pplication </w:t>
      </w:r>
      <w:r w:rsidR="00A93859" w:rsidRPr="00E15F23">
        <w:rPr>
          <w:rFonts w:eastAsia="Arial"/>
          <w:sz w:val="22"/>
          <w:szCs w:val="22"/>
        </w:rPr>
        <w:t>p</w:t>
      </w:r>
      <w:r w:rsidRPr="00E15F23">
        <w:rPr>
          <w:rFonts w:eastAsia="Arial"/>
          <w:sz w:val="22"/>
          <w:szCs w:val="22"/>
        </w:rPr>
        <w:t>rocedures provide detailed guidance to aid applicants in determining eligibility, developing itemized budgets and budget narratives, and completing other related forms. Using the guidance presented in this document, applicants should be able to efficiently and effectively prepare complete applications.</w:t>
      </w:r>
    </w:p>
    <w:p w14:paraId="00A327D7" w14:textId="77777777" w:rsidR="00554486" w:rsidRDefault="00554486" w:rsidP="00043515">
      <w:pPr>
        <w:autoSpaceDE w:val="0"/>
        <w:autoSpaceDN w:val="0"/>
        <w:adjustRightInd w:val="0"/>
        <w:rPr>
          <w:rFonts w:eastAsia="Arial"/>
          <w:b/>
          <w:sz w:val="22"/>
          <w:szCs w:val="22"/>
        </w:rPr>
      </w:pPr>
    </w:p>
    <w:p w14:paraId="6562D7B3" w14:textId="78DD8AA3" w:rsidR="00554486" w:rsidRDefault="00554486" w:rsidP="00043515">
      <w:pPr>
        <w:autoSpaceDE w:val="0"/>
        <w:autoSpaceDN w:val="0"/>
        <w:adjustRightInd w:val="0"/>
        <w:rPr>
          <w:rFonts w:eastAsia="Arial"/>
          <w:sz w:val="22"/>
          <w:szCs w:val="22"/>
        </w:rPr>
      </w:pPr>
      <w:r>
        <w:rPr>
          <w:rFonts w:eastAsia="Arial"/>
          <w:sz w:val="22"/>
          <w:szCs w:val="22"/>
        </w:rPr>
        <w:t>With this grant program, t</w:t>
      </w:r>
      <w:r w:rsidR="00043515" w:rsidRPr="00043515">
        <w:rPr>
          <w:rFonts w:eastAsia="Arial"/>
          <w:sz w:val="22"/>
          <w:szCs w:val="22"/>
        </w:rPr>
        <w:t xml:space="preserve">he </w:t>
      </w:r>
      <w:r>
        <w:rPr>
          <w:rFonts w:eastAsia="Arial"/>
          <w:sz w:val="22"/>
          <w:szCs w:val="22"/>
        </w:rPr>
        <w:t xml:space="preserve">Virginia </w:t>
      </w:r>
      <w:r w:rsidR="00043515" w:rsidRPr="00043515">
        <w:rPr>
          <w:rFonts w:eastAsia="Arial"/>
          <w:sz w:val="22"/>
          <w:szCs w:val="22"/>
        </w:rPr>
        <w:t xml:space="preserve">Department of Criminal Justice Services (DCJS) </w:t>
      </w:r>
      <w:r>
        <w:rPr>
          <w:rFonts w:eastAsia="Arial"/>
          <w:sz w:val="22"/>
          <w:szCs w:val="22"/>
        </w:rPr>
        <w:t xml:space="preserve">seeks to establish </w:t>
      </w:r>
      <w:r w:rsidR="00E86F8B">
        <w:rPr>
          <w:rFonts w:eastAsia="Arial"/>
          <w:sz w:val="22"/>
          <w:szCs w:val="22"/>
        </w:rPr>
        <w:t>programs with</w:t>
      </w:r>
      <w:r>
        <w:rPr>
          <w:rFonts w:eastAsia="Arial"/>
          <w:sz w:val="22"/>
          <w:szCs w:val="22"/>
        </w:rPr>
        <w:t xml:space="preserve">in hospitals </w:t>
      </w:r>
      <w:r w:rsidR="00043515" w:rsidRPr="00043515">
        <w:rPr>
          <w:rFonts w:eastAsia="Arial"/>
          <w:sz w:val="22"/>
          <w:szCs w:val="22"/>
        </w:rPr>
        <w:t>to provide services to victims of violent crime with the goal of reducing future incidences of violence-r</w:t>
      </w:r>
      <w:r w:rsidR="00F81A82">
        <w:rPr>
          <w:rFonts w:eastAsia="Arial"/>
          <w:sz w:val="22"/>
          <w:szCs w:val="22"/>
        </w:rPr>
        <w:t>elated injuries and homicides. It is anticipated that f</w:t>
      </w:r>
      <w:r w:rsidR="0013646D">
        <w:rPr>
          <w:rFonts w:eastAsia="Arial"/>
          <w:sz w:val="22"/>
          <w:szCs w:val="22"/>
        </w:rPr>
        <w:t xml:space="preserve">unding will be awarded </w:t>
      </w:r>
      <w:r w:rsidR="001536A3">
        <w:rPr>
          <w:rFonts w:eastAsia="Arial"/>
          <w:sz w:val="22"/>
          <w:szCs w:val="22"/>
        </w:rPr>
        <w:t xml:space="preserve">to </w:t>
      </w:r>
      <w:r w:rsidR="00F81A82">
        <w:rPr>
          <w:rFonts w:eastAsia="Arial"/>
          <w:sz w:val="22"/>
          <w:szCs w:val="22"/>
        </w:rPr>
        <w:t>one statewide organization to coordinate</w:t>
      </w:r>
      <w:r w:rsidR="009973EE">
        <w:rPr>
          <w:rFonts w:eastAsia="Arial"/>
          <w:sz w:val="22"/>
          <w:szCs w:val="22"/>
        </w:rPr>
        <w:t xml:space="preserve"> the establishment or enhancement of</w:t>
      </w:r>
      <w:r w:rsidR="00F81A82">
        <w:rPr>
          <w:rFonts w:eastAsia="Arial"/>
          <w:sz w:val="22"/>
          <w:szCs w:val="22"/>
        </w:rPr>
        <w:t xml:space="preserve"> HVIP projects in multiple hospital locations.</w:t>
      </w:r>
      <w:r w:rsidR="009F301A">
        <w:rPr>
          <w:rFonts w:eastAsia="Arial"/>
          <w:sz w:val="22"/>
          <w:szCs w:val="22"/>
        </w:rPr>
        <w:t xml:space="preserve"> The recipient will coordinate</w:t>
      </w:r>
      <w:r w:rsidR="009973EE">
        <w:rPr>
          <w:rFonts w:eastAsia="Arial"/>
          <w:sz w:val="22"/>
          <w:szCs w:val="22"/>
        </w:rPr>
        <w:t xml:space="preserve"> all aspects of the HVIP project, including coordinating project</w:t>
      </w:r>
      <w:r w:rsidR="009F301A">
        <w:rPr>
          <w:rFonts w:eastAsia="Arial"/>
          <w:sz w:val="22"/>
          <w:szCs w:val="22"/>
        </w:rPr>
        <w:t xml:space="preserve"> establishment in hospitals through</w:t>
      </w:r>
      <w:r w:rsidR="008117AB">
        <w:rPr>
          <w:rFonts w:eastAsia="Arial"/>
          <w:sz w:val="22"/>
          <w:szCs w:val="22"/>
        </w:rPr>
        <w:t xml:space="preserve"> sub-contracts, </w:t>
      </w:r>
      <w:r w:rsidR="009F301A">
        <w:rPr>
          <w:rFonts w:eastAsia="Arial"/>
          <w:sz w:val="22"/>
          <w:szCs w:val="22"/>
        </w:rPr>
        <w:t>provid</w:t>
      </w:r>
      <w:r w:rsidR="009973EE">
        <w:rPr>
          <w:rFonts w:eastAsia="Arial"/>
          <w:sz w:val="22"/>
          <w:szCs w:val="22"/>
        </w:rPr>
        <w:t>ing</w:t>
      </w:r>
      <w:r w:rsidR="009F301A">
        <w:rPr>
          <w:rFonts w:eastAsia="Arial"/>
          <w:sz w:val="22"/>
          <w:szCs w:val="22"/>
        </w:rPr>
        <w:t xml:space="preserve"> orientation and training </w:t>
      </w:r>
      <w:r w:rsidR="008117AB">
        <w:rPr>
          <w:rFonts w:eastAsia="Arial"/>
          <w:sz w:val="22"/>
          <w:szCs w:val="22"/>
        </w:rPr>
        <w:t>to project staff</w:t>
      </w:r>
      <w:r w:rsidR="009973EE">
        <w:rPr>
          <w:rFonts w:eastAsia="Arial"/>
          <w:sz w:val="22"/>
          <w:szCs w:val="22"/>
        </w:rPr>
        <w:t xml:space="preserve">, and evaluating program implementation. </w:t>
      </w:r>
      <w:r w:rsidR="008117AB">
        <w:rPr>
          <w:rFonts w:eastAsia="Arial"/>
          <w:sz w:val="22"/>
          <w:szCs w:val="22"/>
        </w:rPr>
        <w:t>In addition, the recipient will ensure that match requirements are met, VOCA reporting is completed, and project evaluation components are included.</w:t>
      </w:r>
      <w:r w:rsidR="009973EE">
        <w:rPr>
          <w:rFonts w:eastAsia="Arial"/>
          <w:sz w:val="22"/>
          <w:szCs w:val="22"/>
        </w:rPr>
        <w:t xml:space="preserve"> In addition to VOCA-required reporting, </w:t>
      </w:r>
      <w:r w:rsidR="00FE0562">
        <w:rPr>
          <w:rFonts w:eastAsia="Arial"/>
          <w:sz w:val="22"/>
          <w:szCs w:val="22"/>
        </w:rPr>
        <w:t>grant recipients will be required to</w:t>
      </w:r>
      <w:r w:rsidR="009973EE">
        <w:rPr>
          <w:rFonts w:eastAsia="Arial"/>
          <w:sz w:val="22"/>
          <w:szCs w:val="22"/>
        </w:rPr>
        <w:t xml:space="preserve"> provide periodic program updates, periodic evaluations of the HVIPs, and a final report on how HVIPs can be sustained in Virginia</w:t>
      </w:r>
      <w:r w:rsidR="00E86F8B">
        <w:rPr>
          <w:rFonts w:eastAsia="Arial"/>
          <w:sz w:val="22"/>
          <w:szCs w:val="22"/>
        </w:rPr>
        <w:t>,</w:t>
      </w:r>
      <w:r w:rsidR="009973EE">
        <w:rPr>
          <w:rFonts w:eastAsia="Arial"/>
          <w:sz w:val="22"/>
          <w:szCs w:val="22"/>
        </w:rPr>
        <w:t xml:space="preserve"> if shown to be effective.  </w:t>
      </w:r>
    </w:p>
    <w:p w14:paraId="5B7D0107" w14:textId="77777777" w:rsidR="00F81A82" w:rsidRDefault="00F81A82" w:rsidP="00043515">
      <w:pPr>
        <w:autoSpaceDE w:val="0"/>
        <w:autoSpaceDN w:val="0"/>
        <w:adjustRightInd w:val="0"/>
        <w:rPr>
          <w:b/>
          <w:sz w:val="22"/>
          <w:szCs w:val="22"/>
        </w:rPr>
      </w:pPr>
    </w:p>
    <w:p w14:paraId="0668A7F6" w14:textId="4B5D75CC" w:rsidR="00554486" w:rsidRPr="00043515" w:rsidRDefault="00554486" w:rsidP="00043515">
      <w:pPr>
        <w:autoSpaceDE w:val="0"/>
        <w:autoSpaceDN w:val="0"/>
        <w:adjustRightInd w:val="0"/>
        <w:rPr>
          <w:rFonts w:eastAsia="Arial"/>
          <w:sz w:val="22"/>
          <w:szCs w:val="22"/>
        </w:rPr>
      </w:pPr>
      <w:r>
        <w:rPr>
          <w:b/>
          <w:sz w:val="22"/>
          <w:szCs w:val="22"/>
        </w:rPr>
        <w:t>Crime-Related Injuries in Virginia</w:t>
      </w:r>
    </w:p>
    <w:p w14:paraId="4D19F675" w14:textId="668EB266" w:rsidR="00043515" w:rsidRPr="00043515" w:rsidRDefault="00043515" w:rsidP="00043515">
      <w:pPr>
        <w:autoSpaceDE w:val="0"/>
        <w:autoSpaceDN w:val="0"/>
        <w:adjustRightInd w:val="0"/>
        <w:rPr>
          <w:rFonts w:eastAsia="Arial"/>
          <w:sz w:val="22"/>
          <w:szCs w:val="22"/>
        </w:rPr>
      </w:pPr>
      <w:r w:rsidRPr="00043515">
        <w:rPr>
          <w:rFonts w:eastAsia="Arial"/>
          <w:sz w:val="22"/>
          <w:szCs w:val="22"/>
        </w:rPr>
        <w:t>In 2017, there were 18,645 violent crimes reported in Virginia, including 455 homicides</w:t>
      </w:r>
      <w:r w:rsidR="001F6AFF">
        <w:rPr>
          <w:rStyle w:val="FootnoteReference"/>
          <w:rFonts w:eastAsia="Arial"/>
          <w:sz w:val="22"/>
          <w:szCs w:val="22"/>
        </w:rPr>
        <w:footnoteReference w:id="1"/>
      </w:r>
      <w:r w:rsidRPr="00043515">
        <w:rPr>
          <w:rFonts w:eastAsia="Arial"/>
          <w:sz w:val="22"/>
          <w:szCs w:val="22"/>
        </w:rPr>
        <w:t>. In 2016, there were 1,035 reported hospitalizations due to assault-related injuries, resulting in $75,528,898 in hospital charges. The average length of stay of these hospitalizations was 5.84 days</w:t>
      </w:r>
      <w:r w:rsidR="00554486">
        <w:rPr>
          <w:rFonts w:eastAsia="Arial"/>
          <w:sz w:val="22"/>
          <w:szCs w:val="22"/>
        </w:rPr>
        <w:t>,</w:t>
      </w:r>
      <w:r w:rsidRPr="00043515">
        <w:rPr>
          <w:rFonts w:eastAsia="Arial"/>
          <w:sz w:val="22"/>
          <w:szCs w:val="22"/>
        </w:rPr>
        <w:t xml:space="preserve"> with a median length of stay of 3.0 days. </w:t>
      </w:r>
      <w:r w:rsidR="002B0CD8">
        <w:rPr>
          <w:rStyle w:val="FootnoteReference"/>
          <w:rFonts w:eastAsia="Arial"/>
          <w:sz w:val="22"/>
          <w:szCs w:val="22"/>
        </w:rPr>
        <w:footnoteReference w:id="2"/>
      </w:r>
      <w:r w:rsidRPr="00043515">
        <w:rPr>
          <w:rFonts w:eastAsia="Arial"/>
          <w:sz w:val="22"/>
          <w:szCs w:val="22"/>
        </w:rPr>
        <w:t>Between 2014 and 2016, gun-related homicides resulted in an estimated $645 million in healthcare costs, employer costs, lost wages, and criminal justice expenses.</w:t>
      </w:r>
      <w:r>
        <w:rPr>
          <w:rStyle w:val="FootnoteReference"/>
          <w:rFonts w:eastAsia="Arial"/>
          <w:sz w:val="22"/>
          <w:szCs w:val="22"/>
        </w:rPr>
        <w:footnoteReference w:id="3"/>
      </w:r>
    </w:p>
    <w:p w14:paraId="7810C3C9" w14:textId="77777777" w:rsidR="00043515" w:rsidRPr="00043515" w:rsidRDefault="00043515" w:rsidP="00043515">
      <w:pPr>
        <w:autoSpaceDE w:val="0"/>
        <w:autoSpaceDN w:val="0"/>
        <w:adjustRightInd w:val="0"/>
        <w:rPr>
          <w:rFonts w:eastAsia="Arial"/>
          <w:sz w:val="22"/>
          <w:szCs w:val="22"/>
        </w:rPr>
      </w:pPr>
    </w:p>
    <w:p w14:paraId="778BBB85" w14:textId="3769B0B5" w:rsidR="00554486" w:rsidRDefault="00043515" w:rsidP="00554486">
      <w:pPr>
        <w:autoSpaceDE w:val="0"/>
        <w:autoSpaceDN w:val="0"/>
        <w:adjustRightInd w:val="0"/>
        <w:rPr>
          <w:rFonts w:eastAsia="Arial"/>
          <w:sz w:val="22"/>
          <w:szCs w:val="22"/>
        </w:rPr>
      </w:pPr>
      <w:r w:rsidRPr="00043515">
        <w:rPr>
          <w:rFonts w:eastAsia="Arial"/>
          <w:sz w:val="22"/>
          <w:szCs w:val="22"/>
        </w:rPr>
        <w:t xml:space="preserve">Studies show that without a multidisciplinary approach </w:t>
      </w:r>
      <w:r w:rsidR="00E86F8B">
        <w:rPr>
          <w:rFonts w:eastAsia="Arial"/>
          <w:sz w:val="22"/>
          <w:szCs w:val="22"/>
        </w:rPr>
        <w:t>like</w:t>
      </w:r>
      <w:r w:rsidRPr="00043515">
        <w:rPr>
          <w:rFonts w:eastAsia="Arial"/>
          <w:sz w:val="22"/>
          <w:szCs w:val="22"/>
        </w:rPr>
        <w:t xml:space="preserve"> hospital-based intervention program, 44% of survivors of violence who receive hospital medical care will return with another injury within five years. Of these, 20% will die from homicide.</w:t>
      </w:r>
      <w:r>
        <w:rPr>
          <w:rStyle w:val="FootnoteReference"/>
          <w:rFonts w:eastAsia="Arial"/>
          <w:sz w:val="22"/>
          <w:szCs w:val="22"/>
        </w:rPr>
        <w:footnoteReference w:id="4"/>
      </w:r>
    </w:p>
    <w:p w14:paraId="4AF92BC5" w14:textId="2E025409" w:rsidR="0026544A" w:rsidRPr="0026544A" w:rsidRDefault="0026544A" w:rsidP="00554486">
      <w:pPr>
        <w:autoSpaceDE w:val="0"/>
        <w:autoSpaceDN w:val="0"/>
        <w:adjustRightInd w:val="0"/>
        <w:rPr>
          <w:b/>
          <w:sz w:val="22"/>
          <w:szCs w:val="22"/>
        </w:rPr>
      </w:pPr>
    </w:p>
    <w:p w14:paraId="59715C9B" w14:textId="77777777" w:rsidR="0026544A" w:rsidRPr="0026544A" w:rsidRDefault="0026544A" w:rsidP="0026544A">
      <w:pPr>
        <w:autoSpaceDE w:val="0"/>
        <w:autoSpaceDN w:val="0"/>
        <w:adjustRightInd w:val="0"/>
        <w:rPr>
          <w:b/>
          <w:sz w:val="22"/>
          <w:szCs w:val="22"/>
        </w:rPr>
      </w:pPr>
      <w:r w:rsidRPr="0026544A">
        <w:rPr>
          <w:b/>
          <w:sz w:val="22"/>
          <w:szCs w:val="22"/>
        </w:rPr>
        <w:t xml:space="preserve">Hospital-Based Violence Intervention Program Model </w:t>
      </w:r>
    </w:p>
    <w:p w14:paraId="6CFA932D" w14:textId="0B108E8C" w:rsidR="0026544A" w:rsidRPr="006D2E68" w:rsidRDefault="0026544A" w:rsidP="006D2E68">
      <w:pPr>
        <w:autoSpaceDE w:val="0"/>
        <w:autoSpaceDN w:val="0"/>
        <w:adjustRightInd w:val="0"/>
        <w:rPr>
          <w:rFonts w:eastAsia="Arial"/>
          <w:sz w:val="22"/>
          <w:szCs w:val="22"/>
        </w:rPr>
      </w:pPr>
      <w:r w:rsidRPr="006D2E68">
        <w:rPr>
          <w:rFonts w:eastAsia="Arial"/>
          <w:sz w:val="22"/>
          <w:szCs w:val="22"/>
        </w:rPr>
        <w:t>The HVIP model recognizes violence as a public health concern and recognizes the role that hospitals can play in reducing injury and recidivism by identifying risk issues and providing appropriate patient education and supportive services.</w:t>
      </w:r>
      <w:r w:rsidR="006D2E68">
        <w:rPr>
          <w:rStyle w:val="FootnoteReference"/>
          <w:rFonts w:eastAsia="Arial"/>
          <w:sz w:val="22"/>
          <w:szCs w:val="22"/>
        </w:rPr>
        <w:footnoteReference w:id="5"/>
      </w:r>
      <w:r w:rsidRPr="006D2E68">
        <w:rPr>
          <w:rFonts w:eastAsia="Arial"/>
          <w:sz w:val="22"/>
          <w:szCs w:val="22"/>
        </w:rPr>
        <w:t xml:space="preserve"> This model is very similar to models used by hospitals to address other public health concerns such as diabetes or hypertension.</w:t>
      </w:r>
    </w:p>
    <w:p w14:paraId="63ED22A0" w14:textId="77777777" w:rsidR="0026544A" w:rsidRPr="006D2E68" w:rsidRDefault="0026544A" w:rsidP="006D2E68">
      <w:pPr>
        <w:autoSpaceDE w:val="0"/>
        <w:autoSpaceDN w:val="0"/>
        <w:adjustRightInd w:val="0"/>
        <w:rPr>
          <w:rFonts w:eastAsia="Arial"/>
          <w:sz w:val="22"/>
          <w:szCs w:val="22"/>
        </w:rPr>
      </w:pPr>
    </w:p>
    <w:p w14:paraId="337BAB9B" w14:textId="77777777" w:rsidR="00E01690" w:rsidRDefault="00E01690" w:rsidP="006D2E68">
      <w:pPr>
        <w:autoSpaceDE w:val="0"/>
        <w:autoSpaceDN w:val="0"/>
        <w:adjustRightInd w:val="0"/>
        <w:rPr>
          <w:rFonts w:eastAsia="Arial"/>
          <w:sz w:val="22"/>
          <w:szCs w:val="22"/>
        </w:rPr>
      </w:pPr>
    </w:p>
    <w:p w14:paraId="1B5648F1" w14:textId="1F44F51A" w:rsidR="0026544A" w:rsidRPr="006D2E68" w:rsidRDefault="0026544A" w:rsidP="006D2E68">
      <w:pPr>
        <w:autoSpaceDE w:val="0"/>
        <w:autoSpaceDN w:val="0"/>
        <w:adjustRightInd w:val="0"/>
        <w:rPr>
          <w:rFonts w:eastAsia="Arial"/>
          <w:sz w:val="22"/>
          <w:szCs w:val="22"/>
        </w:rPr>
      </w:pPr>
      <w:r w:rsidRPr="006D2E68">
        <w:rPr>
          <w:rFonts w:eastAsia="Arial"/>
          <w:sz w:val="22"/>
          <w:szCs w:val="22"/>
        </w:rPr>
        <w:t>A HVIP has five essential components:</w:t>
      </w:r>
      <w:r w:rsidR="006D2E68">
        <w:rPr>
          <w:rStyle w:val="FootnoteReference"/>
          <w:rFonts w:eastAsia="Arial"/>
          <w:sz w:val="22"/>
          <w:szCs w:val="22"/>
        </w:rPr>
        <w:footnoteReference w:id="6"/>
      </w:r>
    </w:p>
    <w:p w14:paraId="5838FFD8" w14:textId="77777777" w:rsidR="0026544A" w:rsidRPr="00087CAC" w:rsidRDefault="0026544A" w:rsidP="00087CAC">
      <w:pPr>
        <w:pStyle w:val="ListParagraph"/>
        <w:numPr>
          <w:ilvl w:val="0"/>
          <w:numId w:val="47"/>
        </w:numPr>
        <w:autoSpaceDE w:val="0"/>
        <w:autoSpaceDN w:val="0"/>
        <w:adjustRightInd w:val="0"/>
        <w:rPr>
          <w:rFonts w:eastAsia="Arial"/>
          <w:sz w:val="22"/>
          <w:szCs w:val="22"/>
        </w:rPr>
      </w:pPr>
      <w:r w:rsidRPr="00087CAC">
        <w:rPr>
          <w:rFonts w:eastAsia="Arial"/>
          <w:sz w:val="22"/>
          <w:szCs w:val="22"/>
        </w:rPr>
        <w:t>Responding to an injury as soon as possible and offering services while the survivor is open to receiving care.</w:t>
      </w:r>
    </w:p>
    <w:p w14:paraId="1DBBE773" w14:textId="77777777" w:rsidR="0026544A" w:rsidRPr="00087CAC" w:rsidRDefault="0026544A" w:rsidP="00087CAC">
      <w:pPr>
        <w:pStyle w:val="ListParagraph"/>
        <w:numPr>
          <w:ilvl w:val="0"/>
          <w:numId w:val="47"/>
        </w:numPr>
        <w:autoSpaceDE w:val="0"/>
        <w:autoSpaceDN w:val="0"/>
        <w:adjustRightInd w:val="0"/>
        <w:rPr>
          <w:rFonts w:eastAsia="Arial"/>
          <w:sz w:val="22"/>
          <w:szCs w:val="22"/>
        </w:rPr>
      </w:pPr>
      <w:r w:rsidRPr="00087CAC">
        <w:rPr>
          <w:rFonts w:eastAsia="Arial"/>
          <w:sz w:val="22"/>
          <w:szCs w:val="22"/>
        </w:rPr>
        <w:t xml:space="preserve">Addressing retaliation and other recidivism risk factors. </w:t>
      </w:r>
    </w:p>
    <w:p w14:paraId="4CAAE26B" w14:textId="77777777" w:rsidR="0026544A" w:rsidRPr="00087CAC" w:rsidRDefault="0026544A" w:rsidP="00087CAC">
      <w:pPr>
        <w:pStyle w:val="ListParagraph"/>
        <w:numPr>
          <w:ilvl w:val="0"/>
          <w:numId w:val="47"/>
        </w:numPr>
        <w:autoSpaceDE w:val="0"/>
        <w:autoSpaceDN w:val="0"/>
        <w:adjustRightInd w:val="0"/>
        <w:rPr>
          <w:rFonts w:eastAsia="Arial"/>
          <w:sz w:val="22"/>
          <w:szCs w:val="22"/>
        </w:rPr>
      </w:pPr>
      <w:r w:rsidRPr="00087CAC">
        <w:rPr>
          <w:rFonts w:eastAsia="Arial"/>
          <w:sz w:val="22"/>
          <w:szCs w:val="22"/>
        </w:rPr>
        <w:t>Providing a continuum of services including community based services after discharge.</w:t>
      </w:r>
    </w:p>
    <w:p w14:paraId="52BD1330" w14:textId="77777777" w:rsidR="0026544A" w:rsidRPr="00087CAC" w:rsidRDefault="0026544A" w:rsidP="00087CAC">
      <w:pPr>
        <w:pStyle w:val="ListParagraph"/>
        <w:numPr>
          <w:ilvl w:val="0"/>
          <w:numId w:val="47"/>
        </w:numPr>
        <w:autoSpaceDE w:val="0"/>
        <w:autoSpaceDN w:val="0"/>
        <w:adjustRightInd w:val="0"/>
        <w:rPr>
          <w:rFonts w:eastAsia="Arial"/>
          <w:sz w:val="22"/>
          <w:szCs w:val="22"/>
        </w:rPr>
      </w:pPr>
      <w:r w:rsidRPr="00087CAC">
        <w:rPr>
          <w:rFonts w:eastAsia="Arial"/>
          <w:sz w:val="22"/>
          <w:szCs w:val="22"/>
        </w:rPr>
        <w:t>Providing trauma-informed care to help survivors heal physically, emotionally, and socially.</w:t>
      </w:r>
    </w:p>
    <w:p w14:paraId="3A95FCFE" w14:textId="77777777" w:rsidR="0026544A" w:rsidRPr="00087CAC" w:rsidRDefault="0026544A" w:rsidP="00087CAC">
      <w:pPr>
        <w:pStyle w:val="ListParagraph"/>
        <w:numPr>
          <w:ilvl w:val="0"/>
          <w:numId w:val="47"/>
        </w:numPr>
        <w:autoSpaceDE w:val="0"/>
        <w:autoSpaceDN w:val="0"/>
        <w:adjustRightInd w:val="0"/>
        <w:rPr>
          <w:rFonts w:eastAsia="Arial"/>
          <w:sz w:val="22"/>
          <w:szCs w:val="22"/>
        </w:rPr>
      </w:pPr>
      <w:r w:rsidRPr="00087CAC">
        <w:rPr>
          <w:rFonts w:eastAsia="Arial"/>
          <w:sz w:val="22"/>
          <w:szCs w:val="22"/>
        </w:rPr>
        <w:t>Using frontline staff from the community who can relate to the experience of survivors of violence.</w:t>
      </w:r>
    </w:p>
    <w:p w14:paraId="27176CF9" w14:textId="77777777" w:rsidR="0026544A" w:rsidRPr="006D2E68" w:rsidRDefault="0026544A" w:rsidP="006D2E68">
      <w:pPr>
        <w:autoSpaceDE w:val="0"/>
        <w:autoSpaceDN w:val="0"/>
        <w:adjustRightInd w:val="0"/>
        <w:rPr>
          <w:rFonts w:eastAsia="Arial"/>
          <w:sz w:val="22"/>
          <w:szCs w:val="22"/>
        </w:rPr>
      </w:pPr>
    </w:p>
    <w:p w14:paraId="7C883BFB" w14:textId="34E1B75B" w:rsidR="0026544A" w:rsidRDefault="0026544A" w:rsidP="006D2E68">
      <w:pPr>
        <w:autoSpaceDE w:val="0"/>
        <w:autoSpaceDN w:val="0"/>
        <w:adjustRightInd w:val="0"/>
        <w:rPr>
          <w:rFonts w:eastAsia="Arial"/>
          <w:sz w:val="22"/>
          <w:szCs w:val="22"/>
        </w:rPr>
      </w:pPr>
      <w:r w:rsidRPr="006D2E68">
        <w:rPr>
          <w:rFonts w:eastAsia="Arial"/>
          <w:sz w:val="22"/>
          <w:szCs w:val="22"/>
        </w:rPr>
        <w:t xml:space="preserve">Through these components, hospitals </w:t>
      </w:r>
      <w:r w:rsidR="000C0074">
        <w:rPr>
          <w:rFonts w:eastAsia="Arial"/>
          <w:sz w:val="22"/>
          <w:szCs w:val="22"/>
        </w:rPr>
        <w:t>provide patients</w:t>
      </w:r>
      <w:r w:rsidRPr="006D2E68">
        <w:rPr>
          <w:rFonts w:eastAsia="Arial"/>
          <w:sz w:val="22"/>
          <w:szCs w:val="22"/>
        </w:rPr>
        <w:t xml:space="preserve"> with trauma-informed medical services and coordination to assist with physical healing. They also offer intensive case-management and c</w:t>
      </w:r>
      <w:r w:rsidR="000C0074">
        <w:rPr>
          <w:rFonts w:eastAsia="Arial"/>
          <w:sz w:val="22"/>
          <w:szCs w:val="22"/>
        </w:rPr>
        <w:t xml:space="preserve">ounseling services </w:t>
      </w:r>
      <w:r w:rsidRPr="006D2E68">
        <w:rPr>
          <w:rFonts w:eastAsia="Arial"/>
          <w:sz w:val="22"/>
          <w:szCs w:val="22"/>
        </w:rPr>
        <w:t xml:space="preserve">both in the hospital setting and in the community setting after discharge. These services help the </w:t>
      </w:r>
      <w:r w:rsidR="000C0074">
        <w:rPr>
          <w:rFonts w:eastAsia="Arial"/>
          <w:sz w:val="22"/>
          <w:szCs w:val="22"/>
        </w:rPr>
        <w:t>patient</w:t>
      </w:r>
      <w:r w:rsidRPr="006D2E68">
        <w:rPr>
          <w:rFonts w:eastAsia="Arial"/>
          <w:sz w:val="22"/>
          <w:szCs w:val="22"/>
        </w:rPr>
        <w:t xml:space="preserve"> heal from the psychological trauma of the injury, obtain needed community resources such as housi</w:t>
      </w:r>
      <w:r w:rsidR="00087CAC">
        <w:rPr>
          <w:rFonts w:eastAsia="Arial"/>
          <w:sz w:val="22"/>
          <w:szCs w:val="22"/>
        </w:rPr>
        <w:t xml:space="preserve">ng or employment, and learn new </w:t>
      </w:r>
      <w:r w:rsidRPr="006D2E68">
        <w:rPr>
          <w:rFonts w:eastAsia="Arial"/>
          <w:sz w:val="22"/>
          <w:szCs w:val="22"/>
        </w:rPr>
        <w:t>skills such as positive coping and peaceful conflict resolution in order to prevent retaliation and recidivism.</w:t>
      </w:r>
      <w:r w:rsidR="00087CAC">
        <w:rPr>
          <w:rStyle w:val="FootnoteReference"/>
          <w:rFonts w:eastAsia="Arial"/>
          <w:sz w:val="22"/>
          <w:szCs w:val="22"/>
        </w:rPr>
        <w:footnoteReference w:id="7"/>
      </w:r>
    </w:p>
    <w:p w14:paraId="5243F43A" w14:textId="1A2FD6E7" w:rsidR="000C0074" w:rsidRDefault="000C0074" w:rsidP="006D2E68">
      <w:pPr>
        <w:autoSpaceDE w:val="0"/>
        <w:autoSpaceDN w:val="0"/>
        <w:adjustRightInd w:val="0"/>
        <w:rPr>
          <w:rFonts w:eastAsia="Arial"/>
          <w:sz w:val="22"/>
          <w:szCs w:val="22"/>
        </w:rPr>
      </w:pPr>
    </w:p>
    <w:p w14:paraId="7BC60B17" w14:textId="378888B1" w:rsidR="000C0074" w:rsidRPr="006B56CA" w:rsidRDefault="000C0074" w:rsidP="006B56CA">
      <w:pPr>
        <w:autoSpaceDE w:val="0"/>
        <w:autoSpaceDN w:val="0"/>
        <w:adjustRightInd w:val="0"/>
        <w:rPr>
          <w:rFonts w:eastAsia="Arial"/>
          <w:sz w:val="22"/>
          <w:szCs w:val="22"/>
        </w:rPr>
      </w:pPr>
      <w:r w:rsidRPr="000C0074">
        <w:rPr>
          <w:rFonts w:eastAsia="Arial"/>
          <w:sz w:val="22"/>
          <w:szCs w:val="22"/>
        </w:rPr>
        <w:t>Many recent studies have demonstrated the effectiveness of the HVIP model.</w:t>
      </w:r>
      <w:r>
        <w:rPr>
          <w:rFonts w:eastAsia="Arial"/>
          <w:sz w:val="22"/>
          <w:szCs w:val="22"/>
        </w:rPr>
        <w:t xml:space="preserve"> For example, a </w:t>
      </w:r>
      <w:r w:rsidRPr="000C0074">
        <w:rPr>
          <w:rFonts w:eastAsia="Arial"/>
          <w:sz w:val="22"/>
          <w:szCs w:val="22"/>
        </w:rPr>
        <w:t xml:space="preserve">study of the Wraparound Program at San Francisco General Hospital found that violent injury recidivism dropped from 16% to 4.5% over </w:t>
      </w:r>
      <w:r>
        <w:rPr>
          <w:rFonts w:eastAsia="Arial"/>
          <w:sz w:val="22"/>
          <w:szCs w:val="22"/>
        </w:rPr>
        <w:t>the five-year period that the H</w:t>
      </w:r>
      <w:r w:rsidRPr="000C0074">
        <w:rPr>
          <w:rFonts w:eastAsia="Arial"/>
          <w:sz w:val="22"/>
          <w:szCs w:val="22"/>
        </w:rPr>
        <w:t xml:space="preserve">VIP was implemented. It was also found </w:t>
      </w:r>
      <w:r>
        <w:rPr>
          <w:rFonts w:eastAsia="Arial"/>
          <w:sz w:val="22"/>
          <w:szCs w:val="22"/>
        </w:rPr>
        <w:t xml:space="preserve">that </w:t>
      </w:r>
      <w:r w:rsidRPr="000C0074">
        <w:rPr>
          <w:rFonts w:eastAsia="Arial"/>
          <w:sz w:val="22"/>
          <w:szCs w:val="22"/>
        </w:rPr>
        <w:t>the program could save the hospital approximately half a million dollars a year due to violence recidivism prevention.</w:t>
      </w:r>
      <w:r w:rsidR="00993A6B">
        <w:rPr>
          <w:rStyle w:val="FootnoteReference"/>
          <w:rFonts w:eastAsia="Arial"/>
          <w:sz w:val="22"/>
          <w:szCs w:val="22"/>
        </w:rPr>
        <w:footnoteReference w:id="8"/>
      </w:r>
      <w:r w:rsidR="006746BE">
        <w:rPr>
          <w:rFonts w:eastAsia="Arial"/>
          <w:sz w:val="22"/>
          <w:szCs w:val="22"/>
        </w:rPr>
        <w:t xml:space="preserve"> </w:t>
      </w:r>
      <w:r w:rsidRPr="000C0074">
        <w:rPr>
          <w:rFonts w:eastAsia="Arial"/>
          <w:sz w:val="22"/>
          <w:szCs w:val="22"/>
        </w:rPr>
        <w:t>This study identified “culturally competent, intensive case management; adequate mental health treatment; and securing employment” as the key components in an effective hospital-based violence intervention program.</w:t>
      </w:r>
      <w:r w:rsidR="006B56CA">
        <w:rPr>
          <w:rStyle w:val="FootnoteReference"/>
          <w:rFonts w:eastAsia="Arial"/>
          <w:sz w:val="22"/>
          <w:szCs w:val="22"/>
        </w:rPr>
        <w:footnoteReference w:id="9"/>
      </w:r>
      <w:r w:rsidR="006B56CA">
        <w:rPr>
          <w:rFonts w:eastAsia="Arial"/>
          <w:sz w:val="22"/>
          <w:szCs w:val="22"/>
        </w:rPr>
        <w:t xml:space="preserve"> Additionally, o</w:t>
      </w:r>
      <w:r w:rsidRPr="006B56CA">
        <w:rPr>
          <w:rFonts w:eastAsia="Arial"/>
          <w:sz w:val="22"/>
          <w:szCs w:val="22"/>
        </w:rPr>
        <w:t xml:space="preserve">utcomes from a 2015 cost-effectiveness analysis of a HVIP </w:t>
      </w:r>
      <w:r w:rsidR="006B56CA">
        <w:rPr>
          <w:rFonts w:eastAsia="Arial"/>
          <w:sz w:val="22"/>
          <w:szCs w:val="22"/>
        </w:rPr>
        <w:t xml:space="preserve">at </w:t>
      </w:r>
      <w:r w:rsidR="006B56CA" w:rsidRPr="006B56CA">
        <w:rPr>
          <w:rFonts w:eastAsia="Arial"/>
          <w:sz w:val="22"/>
          <w:szCs w:val="22"/>
        </w:rPr>
        <w:t xml:space="preserve">Highland Hospital </w:t>
      </w:r>
      <w:r w:rsidRPr="006B56CA">
        <w:rPr>
          <w:rFonts w:eastAsia="Arial"/>
          <w:sz w:val="22"/>
          <w:szCs w:val="22"/>
        </w:rPr>
        <w:t>in Oakland, California, led researchers to conclude that the hospital’s HVIP was a cost-effective way to prevent recurrent injuries from gun violence.</w:t>
      </w:r>
      <w:r w:rsidR="006B56CA">
        <w:rPr>
          <w:rStyle w:val="FootnoteReference"/>
          <w:rFonts w:eastAsia="Arial"/>
          <w:sz w:val="22"/>
          <w:szCs w:val="22"/>
        </w:rPr>
        <w:footnoteReference w:id="10"/>
      </w:r>
    </w:p>
    <w:p w14:paraId="4ADCE898" w14:textId="548A2075" w:rsidR="0026544A" w:rsidRDefault="0026544A" w:rsidP="006B56CA">
      <w:pPr>
        <w:autoSpaceDE w:val="0"/>
        <w:autoSpaceDN w:val="0"/>
        <w:adjustRightInd w:val="0"/>
        <w:rPr>
          <w:rFonts w:eastAsia="Arial"/>
          <w:sz w:val="22"/>
          <w:szCs w:val="22"/>
        </w:rPr>
      </w:pPr>
    </w:p>
    <w:p w14:paraId="7DF0E82B" w14:textId="2454235A" w:rsidR="00F951B3" w:rsidRPr="0026544A" w:rsidRDefault="00F951B3" w:rsidP="0026544A">
      <w:pPr>
        <w:rPr>
          <w:rFonts w:eastAsia="Arial"/>
          <w:sz w:val="22"/>
          <w:szCs w:val="22"/>
        </w:rPr>
      </w:pPr>
      <w:r w:rsidRPr="007B6F25">
        <w:rPr>
          <w:b/>
          <w:sz w:val="22"/>
          <w:szCs w:val="22"/>
        </w:rPr>
        <w:t>Purpose</w:t>
      </w:r>
    </w:p>
    <w:p w14:paraId="6BC33D5F" w14:textId="7D227FF9" w:rsidR="00F951B3" w:rsidRPr="004559D0" w:rsidRDefault="00F951B3" w:rsidP="00A8140A">
      <w:pPr>
        <w:shd w:val="clear" w:color="auto" w:fill="FFFFFF"/>
      </w:pPr>
      <w:r w:rsidRPr="004559D0">
        <w:rPr>
          <w:sz w:val="22"/>
          <w:szCs w:val="22"/>
        </w:rPr>
        <w:t>The primary purpose of VOCA funding is to support the delivery of direct services to victims of crime.</w:t>
      </w:r>
      <w:r w:rsidR="000C0074" w:rsidRPr="004559D0">
        <w:rPr>
          <w:sz w:val="22"/>
          <w:szCs w:val="22"/>
        </w:rPr>
        <w:t xml:space="preserve"> </w:t>
      </w:r>
      <w:r w:rsidRPr="004559D0">
        <w:rPr>
          <w:sz w:val="22"/>
          <w:szCs w:val="22"/>
        </w:rPr>
        <w:t>For the purposes of this grant program, a </w:t>
      </w:r>
      <w:r w:rsidRPr="004559D0">
        <w:rPr>
          <w:i/>
          <w:iCs/>
          <w:sz w:val="22"/>
          <w:szCs w:val="22"/>
        </w:rPr>
        <w:t>crime victim</w:t>
      </w:r>
      <w:r w:rsidRPr="004559D0">
        <w:rPr>
          <w:i/>
          <w:sz w:val="22"/>
          <w:szCs w:val="22"/>
        </w:rPr>
        <w:t xml:space="preserve"> </w:t>
      </w:r>
      <w:r w:rsidRPr="004559D0">
        <w:rPr>
          <w:sz w:val="22"/>
          <w:szCs w:val="22"/>
        </w:rPr>
        <w:t xml:space="preserve">is defined as a person who has suffered physical, sexual, financial, and/or emotional harm as a result of the commission of a crime. </w:t>
      </w:r>
      <w:r w:rsidR="000C0074" w:rsidRPr="004559D0">
        <w:rPr>
          <w:rFonts w:eastAsia="Arial"/>
          <w:sz w:val="22"/>
          <w:szCs w:val="22"/>
        </w:rPr>
        <w:t>This includes victims of federal crimes. Crimes do not need to be reported to law enforcement in order for people to receive services under VOCA.</w:t>
      </w:r>
    </w:p>
    <w:p w14:paraId="48B31F6B" w14:textId="77777777" w:rsidR="00544DD7" w:rsidRPr="004559D0" w:rsidRDefault="00544DD7" w:rsidP="00A8140A">
      <w:pPr>
        <w:shd w:val="clear" w:color="auto" w:fill="FFFFFF"/>
        <w:spacing w:after="60"/>
        <w:rPr>
          <w:sz w:val="22"/>
          <w:szCs w:val="22"/>
        </w:rPr>
      </w:pPr>
    </w:p>
    <w:p w14:paraId="3FA28DC0" w14:textId="32F6FF76" w:rsidR="00F951B3" w:rsidRPr="004559D0" w:rsidRDefault="00F951B3" w:rsidP="00A8140A">
      <w:pPr>
        <w:shd w:val="clear" w:color="auto" w:fill="FFFFFF"/>
        <w:spacing w:after="60"/>
        <w:rPr>
          <w:sz w:val="22"/>
          <w:szCs w:val="22"/>
        </w:rPr>
      </w:pPr>
      <w:r w:rsidRPr="004559D0">
        <w:rPr>
          <w:sz w:val="22"/>
          <w:szCs w:val="22"/>
        </w:rPr>
        <w:t>The federal VOCA Rule defines </w:t>
      </w:r>
      <w:r w:rsidRPr="004559D0">
        <w:rPr>
          <w:i/>
          <w:iCs/>
          <w:sz w:val="22"/>
          <w:szCs w:val="22"/>
        </w:rPr>
        <w:t>direct services to victims of crime</w:t>
      </w:r>
      <w:r w:rsidRPr="004559D0">
        <w:rPr>
          <w:sz w:val="22"/>
          <w:szCs w:val="22"/>
        </w:rPr>
        <w:t xml:space="preserve"> as </w:t>
      </w:r>
      <w:r w:rsidR="00A8140A" w:rsidRPr="004559D0">
        <w:rPr>
          <w:sz w:val="22"/>
          <w:szCs w:val="22"/>
        </w:rPr>
        <w:t>“</w:t>
      </w:r>
      <w:r w:rsidRPr="004559D0">
        <w:rPr>
          <w:sz w:val="22"/>
          <w:szCs w:val="22"/>
        </w:rPr>
        <w:t>efforts that</w:t>
      </w:r>
    </w:p>
    <w:p w14:paraId="719716D6" w14:textId="17F4CE65" w:rsidR="00A75979" w:rsidRPr="004559D0" w:rsidRDefault="00A75979" w:rsidP="00A8140A">
      <w:pPr>
        <w:pStyle w:val="ListParagraph"/>
        <w:numPr>
          <w:ilvl w:val="0"/>
          <w:numId w:val="42"/>
        </w:numPr>
        <w:shd w:val="clear" w:color="auto" w:fill="FFFFFF"/>
        <w:spacing w:after="60"/>
        <w:contextualSpacing w:val="0"/>
        <w:rPr>
          <w:sz w:val="22"/>
          <w:szCs w:val="22"/>
        </w:rPr>
      </w:pPr>
      <w:r w:rsidRPr="004559D0">
        <w:rPr>
          <w:sz w:val="22"/>
          <w:szCs w:val="22"/>
        </w:rPr>
        <w:t>respond to the emotional, psychological, or physical needs of crime victims;</w:t>
      </w:r>
    </w:p>
    <w:p w14:paraId="096501D8" w14:textId="3F2F618B" w:rsidR="00A75979" w:rsidRPr="004559D0" w:rsidRDefault="00A75979" w:rsidP="00A8140A">
      <w:pPr>
        <w:pStyle w:val="ListParagraph"/>
        <w:numPr>
          <w:ilvl w:val="0"/>
          <w:numId w:val="42"/>
        </w:numPr>
        <w:shd w:val="clear" w:color="auto" w:fill="FFFFFF"/>
        <w:spacing w:after="60"/>
        <w:contextualSpacing w:val="0"/>
        <w:rPr>
          <w:sz w:val="22"/>
          <w:szCs w:val="22"/>
        </w:rPr>
      </w:pPr>
      <w:r w:rsidRPr="004559D0">
        <w:rPr>
          <w:sz w:val="22"/>
          <w:szCs w:val="22"/>
        </w:rPr>
        <w:t>assist victims to stabilize their lives after victimization;</w:t>
      </w:r>
    </w:p>
    <w:p w14:paraId="48BB16D5" w14:textId="205083BE" w:rsidR="00A75979" w:rsidRPr="004559D0" w:rsidRDefault="00A75979" w:rsidP="00A8140A">
      <w:pPr>
        <w:pStyle w:val="ListParagraph"/>
        <w:numPr>
          <w:ilvl w:val="0"/>
          <w:numId w:val="42"/>
        </w:numPr>
        <w:shd w:val="clear" w:color="auto" w:fill="FFFFFF"/>
        <w:spacing w:after="60"/>
        <w:contextualSpacing w:val="0"/>
        <w:rPr>
          <w:sz w:val="22"/>
          <w:szCs w:val="22"/>
        </w:rPr>
      </w:pPr>
      <w:r w:rsidRPr="004559D0">
        <w:rPr>
          <w:sz w:val="22"/>
          <w:szCs w:val="22"/>
        </w:rPr>
        <w:t>assist victims to understand and participate in the criminal justice system; or</w:t>
      </w:r>
    </w:p>
    <w:p w14:paraId="06F49C85" w14:textId="35B93136" w:rsidR="00A75979" w:rsidRPr="004559D0" w:rsidRDefault="00A75979" w:rsidP="00A75979">
      <w:pPr>
        <w:pStyle w:val="ListParagraph"/>
        <w:numPr>
          <w:ilvl w:val="0"/>
          <w:numId w:val="42"/>
        </w:numPr>
        <w:shd w:val="clear" w:color="auto" w:fill="FFFFFF"/>
        <w:rPr>
          <w:sz w:val="22"/>
          <w:szCs w:val="22"/>
        </w:rPr>
      </w:pPr>
      <w:r w:rsidRPr="004559D0">
        <w:rPr>
          <w:sz w:val="22"/>
          <w:szCs w:val="22"/>
        </w:rPr>
        <w:t>restore a measure of security and safety for the victim.</w:t>
      </w:r>
      <w:r w:rsidR="00A8140A" w:rsidRPr="004559D0">
        <w:rPr>
          <w:sz w:val="22"/>
          <w:szCs w:val="22"/>
        </w:rPr>
        <w:t>”</w:t>
      </w:r>
    </w:p>
    <w:p w14:paraId="2238845B" w14:textId="77777777" w:rsidR="000C0074" w:rsidRDefault="000C0074">
      <w:pPr>
        <w:rPr>
          <w:sz w:val="24"/>
          <w:szCs w:val="24"/>
        </w:rPr>
      </w:pPr>
    </w:p>
    <w:p w14:paraId="51B5CCFE" w14:textId="77777777" w:rsidR="000C0074" w:rsidRPr="00554486" w:rsidRDefault="000C0074" w:rsidP="000C0074">
      <w:pPr>
        <w:autoSpaceDE w:val="0"/>
        <w:autoSpaceDN w:val="0"/>
        <w:adjustRightInd w:val="0"/>
        <w:rPr>
          <w:rFonts w:eastAsia="Arial"/>
          <w:sz w:val="22"/>
          <w:szCs w:val="22"/>
        </w:rPr>
      </w:pPr>
      <w:r w:rsidRPr="007B6F25">
        <w:rPr>
          <w:b/>
          <w:sz w:val="22"/>
          <w:szCs w:val="22"/>
        </w:rPr>
        <w:t>Eligibility</w:t>
      </w:r>
    </w:p>
    <w:p w14:paraId="3FCEEFEA" w14:textId="1DAB2ABC" w:rsidR="00E01690" w:rsidRPr="00FA14B1" w:rsidRDefault="000C0074" w:rsidP="00FA14B1">
      <w:pPr>
        <w:rPr>
          <w:sz w:val="22"/>
          <w:szCs w:val="22"/>
        </w:rPr>
      </w:pPr>
      <w:r w:rsidRPr="00FA14B1">
        <w:rPr>
          <w:rFonts w:eastAsia="Arial"/>
          <w:sz w:val="22"/>
          <w:szCs w:val="22"/>
        </w:rPr>
        <w:lastRenderedPageBreak/>
        <w:t xml:space="preserve">This funding is open only to </w:t>
      </w:r>
      <w:r w:rsidR="00FA14B1">
        <w:rPr>
          <w:sz w:val="22"/>
          <w:szCs w:val="22"/>
        </w:rPr>
        <w:t>organizations</w:t>
      </w:r>
      <w:r w:rsidR="00F81A82" w:rsidRPr="00FA14B1">
        <w:rPr>
          <w:sz w:val="22"/>
          <w:szCs w:val="22"/>
        </w:rPr>
        <w:t xml:space="preserve"> </w:t>
      </w:r>
      <w:r w:rsidR="0056726E">
        <w:rPr>
          <w:rFonts w:eastAsia="Arial"/>
          <w:sz w:val="22"/>
          <w:szCs w:val="22"/>
        </w:rPr>
        <w:t xml:space="preserve">that can </w:t>
      </w:r>
      <w:r w:rsidR="00FA14B1">
        <w:rPr>
          <w:rFonts w:eastAsia="Arial"/>
          <w:sz w:val="22"/>
          <w:szCs w:val="22"/>
        </w:rPr>
        <w:t>coordinate</w:t>
      </w:r>
      <w:r w:rsidR="00E01690">
        <w:rPr>
          <w:rFonts w:eastAsia="Arial"/>
          <w:sz w:val="22"/>
          <w:szCs w:val="22"/>
        </w:rPr>
        <w:t xml:space="preserve"> the establishment or enhancement of </w:t>
      </w:r>
      <w:r w:rsidR="00FA14B1">
        <w:rPr>
          <w:rFonts w:eastAsia="Arial"/>
          <w:sz w:val="22"/>
          <w:szCs w:val="22"/>
        </w:rPr>
        <w:t>HVIP projects in multiple hospital locations</w:t>
      </w:r>
      <w:r w:rsidR="0056726E">
        <w:rPr>
          <w:rFonts w:eastAsia="Arial"/>
          <w:sz w:val="22"/>
          <w:szCs w:val="22"/>
        </w:rPr>
        <w:t xml:space="preserve"> </w:t>
      </w:r>
      <w:r w:rsidR="0056726E" w:rsidRPr="0056726E">
        <w:rPr>
          <w:rFonts w:eastAsia="Arial"/>
          <w:sz w:val="22"/>
          <w:szCs w:val="22"/>
        </w:rPr>
        <w:t>statewide</w:t>
      </w:r>
      <w:r w:rsidR="00FA14B1" w:rsidRPr="0056726E">
        <w:rPr>
          <w:rFonts w:eastAsia="Arial"/>
          <w:sz w:val="22"/>
          <w:szCs w:val="22"/>
        </w:rPr>
        <w:t>.</w:t>
      </w:r>
      <w:r w:rsidR="00FA14B1">
        <w:rPr>
          <w:sz w:val="22"/>
          <w:szCs w:val="22"/>
        </w:rPr>
        <w:t xml:space="preserve"> </w:t>
      </w:r>
      <w:r w:rsidR="0056726E">
        <w:rPr>
          <w:sz w:val="22"/>
          <w:szCs w:val="22"/>
        </w:rPr>
        <w:t>Organizations with l</w:t>
      </w:r>
      <w:r w:rsidR="00F81A82" w:rsidRPr="00FA14B1">
        <w:rPr>
          <w:sz w:val="22"/>
          <w:szCs w:val="22"/>
        </w:rPr>
        <w:t>ocal and regional initiatives are not eligible to apply.</w:t>
      </w:r>
    </w:p>
    <w:p w14:paraId="247B5229" w14:textId="77777777" w:rsidR="00F81A82" w:rsidRDefault="00F81A82" w:rsidP="000C0074">
      <w:pPr>
        <w:rPr>
          <w:rFonts w:eastAsia="Arial"/>
          <w:sz w:val="22"/>
          <w:szCs w:val="22"/>
        </w:rPr>
      </w:pPr>
    </w:p>
    <w:p w14:paraId="79F3776F" w14:textId="6AC900C7" w:rsidR="000C0074" w:rsidRPr="000C0074" w:rsidRDefault="000C0074" w:rsidP="000C0074">
      <w:pPr>
        <w:rPr>
          <w:rFonts w:eastAsia="Arial"/>
          <w:sz w:val="22"/>
          <w:szCs w:val="22"/>
        </w:rPr>
      </w:pPr>
      <w:r w:rsidRPr="000C0074">
        <w:rPr>
          <w:rFonts w:eastAsia="Arial"/>
          <w:sz w:val="22"/>
          <w:szCs w:val="22"/>
        </w:rPr>
        <w:t xml:space="preserve">While this solicitation is </w:t>
      </w:r>
      <w:r>
        <w:rPr>
          <w:rFonts w:eastAsia="Arial"/>
          <w:sz w:val="22"/>
          <w:szCs w:val="22"/>
        </w:rPr>
        <w:t xml:space="preserve">specific to </w:t>
      </w:r>
      <w:r w:rsidR="00FA14B1">
        <w:rPr>
          <w:rFonts w:eastAsia="Arial"/>
          <w:sz w:val="22"/>
          <w:szCs w:val="22"/>
        </w:rPr>
        <w:t xml:space="preserve">statewide organizations and </w:t>
      </w:r>
      <w:r>
        <w:rPr>
          <w:rFonts w:eastAsia="Arial"/>
          <w:sz w:val="22"/>
          <w:szCs w:val="22"/>
        </w:rPr>
        <w:t>HVIP</w:t>
      </w:r>
      <w:r w:rsidR="006B56CA">
        <w:rPr>
          <w:rFonts w:eastAsia="Arial"/>
          <w:sz w:val="22"/>
          <w:szCs w:val="22"/>
        </w:rPr>
        <w:t xml:space="preserve">, </w:t>
      </w:r>
      <w:r w:rsidRPr="000C0074">
        <w:rPr>
          <w:rFonts w:eastAsia="Arial"/>
          <w:sz w:val="22"/>
          <w:szCs w:val="22"/>
        </w:rPr>
        <w:t>a separate VOCA Victims Services Grant Program solicitation (</w:t>
      </w:r>
      <w:hyperlink r:id="rId9" w:history="1">
        <w:r w:rsidRPr="000C0074">
          <w:rPr>
            <w:rStyle w:val="Hyperlink"/>
            <w:rFonts w:eastAsia="Arial"/>
            <w:sz w:val="22"/>
            <w:szCs w:val="22"/>
          </w:rPr>
          <w:t>www.dcjs.virginia.gov/victims-services/grants/voca</w:t>
        </w:r>
      </w:hyperlink>
      <w:r w:rsidRPr="000C0074">
        <w:rPr>
          <w:rFonts w:eastAsia="Arial"/>
          <w:sz w:val="22"/>
          <w:szCs w:val="22"/>
        </w:rPr>
        <w:t>) is available for othe</w:t>
      </w:r>
      <w:r w:rsidR="006B56CA">
        <w:rPr>
          <w:rFonts w:eastAsia="Arial"/>
          <w:sz w:val="22"/>
          <w:szCs w:val="22"/>
        </w:rPr>
        <w:t xml:space="preserve">r services to victims of crime. </w:t>
      </w:r>
      <w:r w:rsidRPr="000C0074">
        <w:rPr>
          <w:rFonts w:eastAsia="Arial"/>
          <w:sz w:val="22"/>
          <w:szCs w:val="22"/>
        </w:rPr>
        <w:t xml:space="preserve">Localities and non-profit organizations interested in applying for </w:t>
      </w:r>
      <w:r w:rsidR="006B56CA">
        <w:rPr>
          <w:rFonts w:eastAsia="Arial"/>
          <w:sz w:val="22"/>
          <w:szCs w:val="22"/>
        </w:rPr>
        <w:t xml:space="preserve">other types of </w:t>
      </w:r>
      <w:r w:rsidRPr="000C0074">
        <w:rPr>
          <w:rFonts w:eastAsia="Arial"/>
          <w:sz w:val="22"/>
          <w:szCs w:val="22"/>
        </w:rPr>
        <w:t>interventions</w:t>
      </w:r>
      <w:r w:rsidR="006B56CA">
        <w:rPr>
          <w:rFonts w:eastAsia="Arial"/>
          <w:sz w:val="22"/>
          <w:szCs w:val="22"/>
        </w:rPr>
        <w:t xml:space="preserve"> are </w:t>
      </w:r>
      <w:r w:rsidRPr="000C0074">
        <w:rPr>
          <w:rFonts w:eastAsia="Arial"/>
          <w:sz w:val="22"/>
          <w:szCs w:val="22"/>
        </w:rPr>
        <w:t xml:space="preserve">encouraged to review the </w:t>
      </w:r>
      <w:r w:rsidR="006B56CA" w:rsidRPr="000C0074">
        <w:rPr>
          <w:rFonts w:eastAsia="Arial"/>
          <w:sz w:val="22"/>
          <w:szCs w:val="22"/>
        </w:rPr>
        <w:t xml:space="preserve">VOCA Victims Services Grant Program </w:t>
      </w:r>
      <w:r w:rsidR="006B56CA">
        <w:rPr>
          <w:rFonts w:eastAsia="Arial"/>
          <w:sz w:val="22"/>
          <w:szCs w:val="22"/>
        </w:rPr>
        <w:t>solicitation for applicability and eligibility.</w:t>
      </w:r>
    </w:p>
    <w:p w14:paraId="36E4F960" w14:textId="2812AFD5" w:rsidR="00532E87" w:rsidRPr="000C0074" w:rsidRDefault="00532E87">
      <w:pPr>
        <w:rPr>
          <w:rFonts w:eastAsia="Arial"/>
          <w:sz w:val="24"/>
          <w:szCs w:val="24"/>
        </w:rPr>
      </w:pPr>
    </w:p>
    <w:p w14:paraId="7A64C744" w14:textId="29A057C0" w:rsidR="00BF6DD0" w:rsidRPr="007B6F25" w:rsidRDefault="00E15F23" w:rsidP="007B6F25">
      <w:pPr>
        <w:pStyle w:val="Heading1"/>
        <w:rPr>
          <w:rFonts w:ascii="Times New Roman" w:hAnsi="Times New Roman" w:cs="Times New Roman"/>
          <w:sz w:val="24"/>
          <w:szCs w:val="24"/>
        </w:rPr>
      </w:pPr>
      <w:bookmarkStart w:id="4" w:name="_Toc2677815"/>
      <w:r w:rsidRPr="007B6F25">
        <w:rPr>
          <w:rFonts w:ascii="Times New Roman" w:hAnsi="Times New Roman" w:cs="Times New Roman"/>
          <w:sz w:val="24"/>
          <w:szCs w:val="24"/>
        </w:rPr>
        <w:t xml:space="preserve">II. </w:t>
      </w:r>
      <w:r w:rsidR="00BF6DD0" w:rsidRPr="007B6F25">
        <w:rPr>
          <w:rFonts w:ascii="Times New Roman" w:hAnsi="Times New Roman" w:cs="Times New Roman"/>
          <w:sz w:val="24"/>
          <w:szCs w:val="24"/>
        </w:rPr>
        <w:t xml:space="preserve">VOCA Eligibility, Program Requirements, </w:t>
      </w:r>
      <w:r w:rsidR="00AD541F" w:rsidRPr="007B6F25">
        <w:rPr>
          <w:rFonts w:ascii="Times New Roman" w:hAnsi="Times New Roman" w:cs="Times New Roman"/>
          <w:sz w:val="24"/>
          <w:szCs w:val="24"/>
        </w:rPr>
        <w:t xml:space="preserve">Due Dates, </w:t>
      </w:r>
      <w:r w:rsidR="00BF6DD0" w:rsidRPr="007B6F25">
        <w:rPr>
          <w:rFonts w:ascii="Times New Roman" w:hAnsi="Times New Roman" w:cs="Times New Roman"/>
          <w:sz w:val="24"/>
          <w:szCs w:val="24"/>
        </w:rPr>
        <w:t>and Other Information</w:t>
      </w:r>
      <w:bookmarkEnd w:id="4"/>
    </w:p>
    <w:p w14:paraId="073D8054" w14:textId="77777777" w:rsidR="00BF6DD0" w:rsidRPr="001A5DA1" w:rsidRDefault="00BF6DD0" w:rsidP="00BF6DD0">
      <w:pPr>
        <w:rPr>
          <w:rFonts w:eastAsia="Arial"/>
          <w:b/>
          <w:sz w:val="22"/>
          <w:szCs w:val="22"/>
        </w:rPr>
      </w:pPr>
    </w:p>
    <w:p w14:paraId="5D70DD79" w14:textId="77777777" w:rsidR="00BC10B9" w:rsidRPr="00BF6DD0" w:rsidRDefault="00343567" w:rsidP="007B6F25">
      <w:pPr>
        <w:pStyle w:val="ListParagraph"/>
        <w:numPr>
          <w:ilvl w:val="0"/>
          <w:numId w:val="25"/>
        </w:numPr>
        <w:pBdr>
          <w:top w:val="nil"/>
          <w:left w:val="nil"/>
          <w:bottom w:val="nil"/>
          <w:right w:val="nil"/>
          <w:between w:val="nil"/>
        </w:pBdr>
        <w:ind w:left="720"/>
        <w:outlineLvl w:val="1"/>
        <w:rPr>
          <w:rFonts w:eastAsia="Arial"/>
          <w:b/>
          <w:sz w:val="22"/>
          <w:szCs w:val="22"/>
        </w:rPr>
      </w:pPr>
      <w:bookmarkStart w:id="5" w:name="_s9t2c59fms9m" w:colFirst="0" w:colLast="0"/>
      <w:bookmarkStart w:id="6" w:name="_s74qwab19b2b" w:colFirst="0" w:colLast="0"/>
      <w:bookmarkStart w:id="7" w:name="_Toc2677816"/>
      <w:bookmarkEnd w:id="5"/>
      <w:bookmarkEnd w:id="6"/>
      <w:r w:rsidRPr="00BF6DD0">
        <w:rPr>
          <w:rFonts w:eastAsia="Arial"/>
          <w:b/>
          <w:sz w:val="22"/>
          <w:szCs w:val="22"/>
        </w:rPr>
        <w:t>Sources of Funding and VOCA Background</w:t>
      </w:r>
      <w:bookmarkEnd w:id="7"/>
    </w:p>
    <w:p w14:paraId="1F35C76C" w14:textId="77777777" w:rsidR="006E5EE7" w:rsidRDefault="00343567" w:rsidP="00BF6DD0">
      <w:pPr>
        <w:ind w:left="720"/>
        <w:rPr>
          <w:rFonts w:eastAsia="Arial"/>
          <w:sz w:val="22"/>
          <w:szCs w:val="22"/>
        </w:rPr>
      </w:pPr>
      <w:r w:rsidRPr="001363DD">
        <w:rPr>
          <w:rFonts w:eastAsia="Arial"/>
          <w:sz w:val="22"/>
          <w:szCs w:val="22"/>
        </w:rPr>
        <w:t>This grant program is supported by federal Victims of Crime Act (VOCA) funds</w:t>
      </w:r>
      <w:r w:rsidR="006E5EE7">
        <w:rPr>
          <w:rFonts w:eastAsia="Arial"/>
          <w:sz w:val="22"/>
          <w:szCs w:val="22"/>
        </w:rPr>
        <w:t>, through the Department of Justice, Office of Justice Programs, Office for Victims of Crime (OVC)</w:t>
      </w:r>
      <w:r w:rsidRPr="001363DD">
        <w:rPr>
          <w:rFonts w:eastAsia="Arial"/>
          <w:sz w:val="22"/>
          <w:szCs w:val="22"/>
        </w:rPr>
        <w:t>.</w:t>
      </w:r>
      <w:r w:rsidR="006E5EE7">
        <w:rPr>
          <w:rFonts w:eastAsia="Arial"/>
          <w:sz w:val="22"/>
          <w:szCs w:val="22"/>
        </w:rPr>
        <w:t xml:space="preserve"> The VOCA grant awards for this grant period include 2017-VA-GX-0018 and 2018-V2-GX-0011. The CFDA number is 16.575.</w:t>
      </w:r>
    </w:p>
    <w:p w14:paraId="050B1249" w14:textId="77A20F67" w:rsidR="00BC10B9" w:rsidRPr="001363DD" w:rsidRDefault="00343567" w:rsidP="00BF6DD0">
      <w:pPr>
        <w:ind w:left="720"/>
        <w:rPr>
          <w:rFonts w:eastAsia="Arial"/>
          <w:sz w:val="22"/>
          <w:szCs w:val="22"/>
        </w:rPr>
      </w:pPr>
      <w:r w:rsidRPr="001363DD">
        <w:rPr>
          <w:rFonts w:eastAsia="Arial"/>
          <w:sz w:val="22"/>
          <w:szCs w:val="22"/>
        </w:rPr>
        <w:t xml:space="preserve"> </w:t>
      </w:r>
    </w:p>
    <w:p w14:paraId="14C92502" w14:textId="77777777" w:rsidR="00BC10B9" w:rsidRPr="001363DD" w:rsidRDefault="00343567" w:rsidP="00BF6DD0">
      <w:pPr>
        <w:ind w:left="720"/>
        <w:rPr>
          <w:rFonts w:eastAsia="Arial"/>
          <w:sz w:val="22"/>
          <w:szCs w:val="22"/>
        </w:rPr>
      </w:pPr>
      <w:r w:rsidRPr="001363DD">
        <w:rPr>
          <w:rFonts w:eastAsia="Arial"/>
          <w:sz w:val="22"/>
          <w:szCs w:val="22"/>
        </w:rPr>
        <w:t>The federal Crime Victim Fund, established in 1984, is one of the major funding sources for victim services throughout the United States. Revenues are deposited into the Fund annually from criminal fines, forfeited appearance bonds, penalties, special forfeitures, special assessments, and gifts, donations, and bequests by private parties. Fund dollars do not come from taxpayers.</w:t>
      </w:r>
    </w:p>
    <w:p w14:paraId="039D70D5" w14:textId="77777777" w:rsidR="00BC10B9" w:rsidRPr="001363DD" w:rsidRDefault="00BC10B9" w:rsidP="00BF6DD0">
      <w:pPr>
        <w:ind w:left="720"/>
        <w:rPr>
          <w:rFonts w:eastAsia="Arial"/>
          <w:sz w:val="22"/>
          <w:szCs w:val="22"/>
        </w:rPr>
      </w:pPr>
    </w:p>
    <w:p w14:paraId="49FE4A35" w14:textId="1C59D794" w:rsidR="00BC10B9" w:rsidRPr="001363DD" w:rsidRDefault="00343567" w:rsidP="00BF6DD0">
      <w:pPr>
        <w:ind w:left="720"/>
        <w:rPr>
          <w:rFonts w:eastAsia="Arial"/>
          <w:sz w:val="22"/>
          <w:szCs w:val="22"/>
        </w:rPr>
      </w:pPr>
      <w:r w:rsidRPr="001363DD">
        <w:rPr>
          <w:rFonts w:eastAsia="Arial"/>
          <w:sz w:val="22"/>
          <w:szCs w:val="22"/>
        </w:rPr>
        <w:t>The amount available for expenditures during FY 2020</w:t>
      </w:r>
      <w:r w:rsidR="00532E87">
        <w:rPr>
          <w:rFonts w:eastAsia="Arial"/>
          <w:sz w:val="22"/>
          <w:szCs w:val="22"/>
        </w:rPr>
        <w:t>–</w:t>
      </w:r>
      <w:r w:rsidRPr="001363DD">
        <w:rPr>
          <w:rFonts w:eastAsia="Arial"/>
          <w:sz w:val="22"/>
          <w:szCs w:val="22"/>
        </w:rPr>
        <w:t>202</w:t>
      </w:r>
      <w:r w:rsidR="001A020D">
        <w:rPr>
          <w:rFonts w:eastAsia="Arial"/>
          <w:sz w:val="22"/>
          <w:szCs w:val="22"/>
        </w:rPr>
        <w:t>1</w:t>
      </w:r>
      <w:r w:rsidRPr="001363DD">
        <w:rPr>
          <w:rFonts w:eastAsia="Arial"/>
          <w:sz w:val="22"/>
          <w:szCs w:val="22"/>
        </w:rPr>
        <w:t xml:space="preserve"> are dependent upon various factors, including the annual amount of VOCA funds awarded to the Commonwealth</w:t>
      </w:r>
      <w:r w:rsidR="00D449D4">
        <w:rPr>
          <w:rFonts w:eastAsia="Arial"/>
          <w:sz w:val="22"/>
          <w:szCs w:val="22"/>
        </w:rPr>
        <w:t>.</w:t>
      </w:r>
      <w:r w:rsidRPr="001363DD">
        <w:rPr>
          <w:rFonts w:eastAsia="Arial"/>
          <w:sz w:val="22"/>
          <w:szCs w:val="22"/>
        </w:rPr>
        <w:t xml:space="preserve"> In the event of a significant increase or decrease in the total amount of funds available in FY 2020</w:t>
      </w:r>
      <w:r w:rsidR="00532E87">
        <w:rPr>
          <w:rFonts w:eastAsia="Arial"/>
          <w:sz w:val="22"/>
          <w:szCs w:val="22"/>
        </w:rPr>
        <w:t>–</w:t>
      </w:r>
      <w:r w:rsidR="00953951" w:rsidRPr="001363DD">
        <w:rPr>
          <w:rFonts w:eastAsia="Arial"/>
          <w:sz w:val="22"/>
          <w:szCs w:val="22"/>
        </w:rPr>
        <w:t>20</w:t>
      </w:r>
      <w:r w:rsidRPr="001363DD">
        <w:rPr>
          <w:rFonts w:eastAsia="Arial"/>
          <w:sz w:val="22"/>
          <w:szCs w:val="22"/>
        </w:rPr>
        <w:t>2</w:t>
      </w:r>
      <w:r w:rsidR="001A020D">
        <w:rPr>
          <w:rFonts w:eastAsia="Arial"/>
          <w:sz w:val="22"/>
          <w:szCs w:val="22"/>
        </w:rPr>
        <w:t>1</w:t>
      </w:r>
      <w:r w:rsidRPr="001363DD">
        <w:rPr>
          <w:rFonts w:eastAsia="Arial"/>
          <w:sz w:val="22"/>
          <w:szCs w:val="22"/>
        </w:rPr>
        <w:t xml:space="preserve">, DCJS will notify </w:t>
      </w:r>
      <w:r w:rsidR="006B56CA">
        <w:rPr>
          <w:rFonts w:eastAsia="Arial"/>
          <w:sz w:val="22"/>
          <w:szCs w:val="22"/>
        </w:rPr>
        <w:t>grant recipients</w:t>
      </w:r>
      <w:r w:rsidRPr="001363DD">
        <w:rPr>
          <w:rFonts w:eastAsia="Arial"/>
          <w:sz w:val="22"/>
          <w:szCs w:val="22"/>
        </w:rPr>
        <w:t xml:space="preserve"> and provide guidance regarding changes to the estimated FY 2020</w:t>
      </w:r>
      <w:r w:rsidR="00532E87">
        <w:rPr>
          <w:rFonts w:eastAsia="Arial"/>
          <w:sz w:val="22"/>
          <w:szCs w:val="22"/>
        </w:rPr>
        <w:t>–</w:t>
      </w:r>
      <w:r w:rsidR="00953951" w:rsidRPr="001363DD">
        <w:rPr>
          <w:rFonts w:eastAsia="Arial"/>
          <w:sz w:val="22"/>
          <w:szCs w:val="22"/>
        </w:rPr>
        <w:t>20</w:t>
      </w:r>
      <w:r w:rsidRPr="001363DD">
        <w:rPr>
          <w:rFonts w:eastAsia="Arial"/>
          <w:sz w:val="22"/>
          <w:szCs w:val="22"/>
        </w:rPr>
        <w:t>2</w:t>
      </w:r>
      <w:r w:rsidR="001A020D">
        <w:rPr>
          <w:rFonts w:eastAsia="Arial"/>
          <w:sz w:val="22"/>
          <w:szCs w:val="22"/>
        </w:rPr>
        <w:t>1</w:t>
      </w:r>
      <w:r w:rsidRPr="001363DD">
        <w:rPr>
          <w:rFonts w:eastAsia="Arial"/>
          <w:sz w:val="22"/>
          <w:szCs w:val="22"/>
        </w:rPr>
        <w:t xml:space="preserve"> awards.</w:t>
      </w:r>
      <w:r w:rsidR="00A8140A">
        <w:rPr>
          <w:rFonts w:eastAsia="Arial"/>
          <w:sz w:val="22"/>
          <w:szCs w:val="22"/>
        </w:rPr>
        <w:t xml:space="preserve"> </w:t>
      </w:r>
    </w:p>
    <w:p w14:paraId="3B71C140" w14:textId="77777777" w:rsidR="00BC10B9" w:rsidRPr="001363DD" w:rsidRDefault="00BC10B9" w:rsidP="00BF6DD0">
      <w:pPr>
        <w:pBdr>
          <w:top w:val="nil"/>
          <w:left w:val="nil"/>
          <w:bottom w:val="nil"/>
          <w:right w:val="nil"/>
          <w:between w:val="nil"/>
        </w:pBdr>
        <w:ind w:left="720"/>
        <w:rPr>
          <w:rFonts w:eastAsia="Arial"/>
          <w:color w:val="000000"/>
          <w:sz w:val="22"/>
          <w:szCs w:val="22"/>
        </w:rPr>
      </w:pPr>
    </w:p>
    <w:p w14:paraId="4489CDD7" w14:textId="3388043E" w:rsidR="001A020D" w:rsidRDefault="00343567" w:rsidP="00BF6DD0">
      <w:pPr>
        <w:ind w:left="720"/>
        <w:rPr>
          <w:rFonts w:eastAsia="Arial"/>
          <w:sz w:val="22"/>
          <w:szCs w:val="22"/>
        </w:rPr>
      </w:pPr>
      <w:r w:rsidRPr="001363DD">
        <w:rPr>
          <w:rFonts w:eastAsia="Arial"/>
          <w:sz w:val="22"/>
          <w:szCs w:val="22"/>
        </w:rPr>
        <w:t>The grant period for awards made under these guidelines is for the t</w:t>
      </w:r>
      <w:r w:rsidR="00BF4BB5">
        <w:rPr>
          <w:rFonts w:eastAsia="Arial"/>
          <w:sz w:val="22"/>
          <w:szCs w:val="22"/>
        </w:rPr>
        <w:t>wo</w:t>
      </w:r>
      <w:r w:rsidR="00E15F23">
        <w:rPr>
          <w:rFonts w:eastAsia="Arial"/>
          <w:sz w:val="22"/>
          <w:szCs w:val="22"/>
        </w:rPr>
        <w:t>-</w:t>
      </w:r>
      <w:r w:rsidRPr="001363DD">
        <w:rPr>
          <w:rFonts w:eastAsia="Arial"/>
          <w:sz w:val="22"/>
          <w:szCs w:val="22"/>
        </w:rPr>
        <w:t>year period</w:t>
      </w:r>
      <w:r w:rsidR="0056726E">
        <w:rPr>
          <w:rFonts w:eastAsia="Arial"/>
          <w:sz w:val="22"/>
          <w:szCs w:val="22"/>
        </w:rPr>
        <w:t xml:space="preserve"> of</w:t>
      </w:r>
      <w:r w:rsidRPr="001363DD">
        <w:rPr>
          <w:rFonts w:eastAsia="Arial"/>
          <w:sz w:val="22"/>
          <w:szCs w:val="22"/>
        </w:rPr>
        <w:t xml:space="preserve"> </w:t>
      </w:r>
      <w:r w:rsidRPr="001363DD">
        <w:rPr>
          <w:rFonts w:eastAsia="Arial"/>
          <w:b/>
          <w:sz w:val="22"/>
          <w:szCs w:val="22"/>
        </w:rPr>
        <w:t>July 1, 2019 through June 30, 202</w:t>
      </w:r>
      <w:r w:rsidR="00BF4BB5">
        <w:rPr>
          <w:rFonts w:eastAsia="Arial"/>
          <w:b/>
          <w:sz w:val="22"/>
          <w:szCs w:val="22"/>
        </w:rPr>
        <w:t>1</w:t>
      </w:r>
      <w:r w:rsidRPr="001363DD">
        <w:rPr>
          <w:rFonts w:eastAsia="Arial"/>
          <w:b/>
          <w:sz w:val="22"/>
          <w:szCs w:val="22"/>
        </w:rPr>
        <w:t xml:space="preserve">. </w:t>
      </w:r>
      <w:r w:rsidRPr="001363DD">
        <w:rPr>
          <w:rFonts w:eastAsia="Arial"/>
          <w:sz w:val="22"/>
          <w:szCs w:val="22"/>
        </w:rPr>
        <w:t>Annual award amounts are contingent upon the availability of adequate funding, program performance, and compliance with grant requirements. Grantees are strongly encouraged to focus on direct service delivery, and to document that service delivery, in order to secure continuation funding.</w:t>
      </w:r>
      <w:r w:rsidR="00BF4BB5">
        <w:rPr>
          <w:rFonts w:eastAsia="Arial"/>
          <w:sz w:val="22"/>
          <w:szCs w:val="22"/>
        </w:rPr>
        <w:t xml:space="preserve"> </w:t>
      </w:r>
    </w:p>
    <w:p w14:paraId="798804EE" w14:textId="77777777" w:rsidR="001A020D" w:rsidRDefault="001A020D" w:rsidP="00BF6DD0">
      <w:pPr>
        <w:ind w:left="720"/>
        <w:rPr>
          <w:rFonts w:eastAsia="Arial"/>
          <w:sz w:val="22"/>
          <w:szCs w:val="22"/>
        </w:rPr>
      </w:pPr>
    </w:p>
    <w:p w14:paraId="19D8F798" w14:textId="6B69AD37" w:rsidR="001A020D" w:rsidRPr="001363DD" w:rsidRDefault="001A020D" w:rsidP="00BF6DD0">
      <w:pPr>
        <w:ind w:left="720"/>
        <w:rPr>
          <w:rFonts w:eastAsia="Arial"/>
          <w:sz w:val="22"/>
          <w:szCs w:val="22"/>
        </w:rPr>
      </w:pPr>
      <w:r>
        <w:rPr>
          <w:rFonts w:eastAsia="Arial"/>
          <w:sz w:val="22"/>
          <w:szCs w:val="22"/>
        </w:rPr>
        <w:t>Due to the uncertainty regarding future Federal appropriations of funding of VOCA grants, programs are encouraged to develop long-term strategies and infrastructure to ensure sustainability after this grant period.</w:t>
      </w:r>
    </w:p>
    <w:p w14:paraId="6BC5714E" w14:textId="77777777" w:rsidR="00BC10B9" w:rsidRPr="001363DD" w:rsidRDefault="00BC10B9" w:rsidP="00EB415B">
      <w:pPr>
        <w:pBdr>
          <w:top w:val="nil"/>
          <w:left w:val="nil"/>
          <w:bottom w:val="nil"/>
          <w:right w:val="nil"/>
          <w:between w:val="nil"/>
        </w:pBdr>
        <w:rPr>
          <w:rFonts w:eastAsia="Arial"/>
          <w:sz w:val="22"/>
          <w:szCs w:val="22"/>
        </w:rPr>
      </w:pPr>
    </w:p>
    <w:p w14:paraId="1098A39E" w14:textId="77777777" w:rsidR="00BC10B9" w:rsidRDefault="00343567" w:rsidP="0006197B">
      <w:pPr>
        <w:pStyle w:val="ListParagraph"/>
        <w:numPr>
          <w:ilvl w:val="0"/>
          <w:numId w:val="25"/>
        </w:numPr>
        <w:pBdr>
          <w:top w:val="nil"/>
          <w:left w:val="nil"/>
          <w:bottom w:val="nil"/>
          <w:right w:val="nil"/>
          <w:between w:val="nil"/>
        </w:pBdr>
        <w:spacing w:before="120"/>
        <w:ind w:left="720"/>
        <w:outlineLvl w:val="1"/>
        <w:rPr>
          <w:rFonts w:eastAsia="Arial"/>
          <w:b/>
          <w:sz w:val="22"/>
          <w:szCs w:val="22"/>
        </w:rPr>
      </w:pPr>
      <w:bookmarkStart w:id="8" w:name="_tyjcwt" w:colFirst="0" w:colLast="0"/>
      <w:bookmarkStart w:id="9" w:name="_Toc2677817"/>
      <w:bookmarkEnd w:id="8"/>
      <w:r w:rsidRPr="00BF6DD0">
        <w:rPr>
          <w:rFonts w:eastAsia="Arial"/>
          <w:b/>
          <w:sz w:val="22"/>
          <w:szCs w:val="22"/>
        </w:rPr>
        <w:t>Eligibility</w:t>
      </w:r>
      <w:bookmarkEnd w:id="9"/>
    </w:p>
    <w:p w14:paraId="692BDBE1" w14:textId="6B44EA5C" w:rsidR="006B56CA" w:rsidRDefault="00920C3A" w:rsidP="00920C3A">
      <w:pPr>
        <w:ind w:left="720"/>
        <w:rPr>
          <w:rFonts w:eastAsia="Arial"/>
          <w:sz w:val="22"/>
          <w:szCs w:val="22"/>
        </w:rPr>
      </w:pPr>
      <w:r w:rsidRPr="00FA14B1">
        <w:rPr>
          <w:rFonts w:eastAsia="Arial"/>
          <w:sz w:val="22"/>
          <w:szCs w:val="22"/>
        </w:rPr>
        <w:t xml:space="preserve">This funding is open only to </w:t>
      </w:r>
      <w:r w:rsidRPr="00FA14B1">
        <w:rPr>
          <w:sz w:val="22"/>
          <w:szCs w:val="22"/>
        </w:rPr>
        <w:t xml:space="preserve">statewide </w:t>
      </w:r>
      <w:r>
        <w:rPr>
          <w:sz w:val="22"/>
          <w:szCs w:val="22"/>
        </w:rPr>
        <w:t>organizations</w:t>
      </w:r>
      <w:r w:rsidRPr="00FA14B1">
        <w:rPr>
          <w:sz w:val="22"/>
          <w:szCs w:val="22"/>
        </w:rPr>
        <w:t xml:space="preserve"> </w:t>
      </w:r>
      <w:r>
        <w:rPr>
          <w:rFonts w:eastAsia="Arial"/>
          <w:sz w:val="22"/>
          <w:szCs w:val="22"/>
        </w:rPr>
        <w:t xml:space="preserve">to coordinate </w:t>
      </w:r>
      <w:r w:rsidR="00E01690">
        <w:rPr>
          <w:rFonts w:eastAsia="Arial"/>
          <w:sz w:val="22"/>
          <w:szCs w:val="22"/>
        </w:rPr>
        <w:t xml:space="preserve">the establishment or enhancement of </w:t>
      </w:r>
      <w:r>
        <w:rPr>
          <w:rFonts w:eastAsia="Arial"/>
          <w:sz w:val="22"/>
          <w:szCs w:val="22"/>
        </w:rPr>
        <w:t>HVIP projects in multiple hospital locations.</w:t>
      </w:r>
      <w:r w:rsidR="00E01690">
        <w:rPr>
          <w:rFonts w:eastAsia="Arial"/>
          <w:sz w:val="22"/>
          <w:szCs w:val="22"/>
        </w:rPr>
        <w:t xml:space="preserve"> </w:t>
      </w:r>
      <w:r w:rsidR="009973EE">
        <w:rPr>
          <w:rFonts w:eastAsia="Arial"/>
          <w:sz w:val="22"/>
          <w:szCs w:val="22"/>
        </w:rPr>
        <w:t>Individual hospita</w:t>
      </w:r>
      <w:r w:rsidR="00E01690">
        <w:rPr>
          <w:rFonts w:eastAsia="Arial"/>
          <w:sz w:val="22"/>
          <w:szCs w:val="22"/>
        </w:rPr>
        <w:t>ls interested in establishing a</w:t>
      </w:r>
      <w:r w:rsidR="009973EE">
        <w:rPr>
          <w:rFonts w:eastAsia="Arial"/>
          <w:sz w:val="22"/>
          <w:szCs w:val="22"/>
        </w:rPr>
        <w:t xml:space="preserve"> HVIP should coordinate with a statewide organization to submit an application.  </w:t>
      </w:r>
    </w:p>
    <w:p w14:paraId="0CE9B47B" w14:textId="77777777" w:rsidR="00E01690" w:rsidRDefault="00E01690" w:rsidP="0006197B">
      <w:pPr>
        <w:pBdr>
          <w:top w:val="nil"/>
          <w:left w:val="nil"/>
          <w:bottom w:val="nil"/>
          <w:right w:val="nil"/>
          <w:between w:val="nil"/>
        </w:pBdr>
        <w:spacing w:after="60"/>
        <w:ind w:left="720"/>
        <w:rPr>
          <w:rFonts w:eastAsia="Arial"/>
          <w:sz w:val="22"/>
          <w:szCs w:val="22"/>
        </w:rPr>
      </w:pPr>
    </w:p>
    <w:p w14:paraId="450A33CF" w14:textId="29D16F0F" w:rsidR="00BC10B9" w:rsidRPr="00BF6DD0" w:rsidRDefault="00370ABD" w:rsidP="0006197B">
      <w:pPr>
        <w:pBdr>
          <w:top w:val="nil"/>
          <w:left w:val="nil"/>
          <w:bottom w:val="nil"/>
          <w:right w:val="nil"/>
          <w:between w:val="nil"/>
        </w:pBdr>
        <w:spacing w:after="60"/>
        <w:ind w:left="720"/>
        <w:rPr>
          <w:rFonts w:eastAsia="Arial"/>
          <w:sz w:val="22"/>
          <w:szCs w:val="22"/>
        </w:rPr>
      </w:pPr>
      <w:r>
        <w:rPr>
          <w:rFonts w:eastAsia="Arial"/>
          <w:sz w:val="22"/>
          <w:szCs w:val="22"/>
        </w:rPr>
        <w:t>VOCA rules require that VOCA grant recipients must:</w:t>
      </w:r>
    </w:p>
    <w:p w14:paraId="45E12964" w14:textId="08367D5E" w:rsidR="00BC10B9" w:rsidRPr="001363DD" w:rsidRDefault="00343567" w:rsidP="0006197B">
      <w:pPr>
        <w:numPr>
          <w:ilvl w:val="0"/>
          <w:numId w:val="26"/>
        </w:numPr>
        <w:pBdr>
          <w:top w:val="nil"/>
          <w:left w:val="nil"/>
          <w:bottom w:val="nil"/>
          <w:right w:val="nil"/>
          <w:between w:val="nil"/>
        </w:pBdr>
        <w:spacing w:after="60"/>
        <w:rPr>
          <w:rFonts w:eastAsia="Arial"/>
          <w:color w:val="000000"/>
          <w:sz w:val="22"/>
          <w:szCs w:val="22"/>
        </w:rPr>
      </w:pPr>
      <w:r w:rsidRPr="001363DD">
        <w:rPr>
          <w:rFonts w:eastAsia="Arial"/>
          <w:color w:val="000000"/>
          <w:sz w:val="22"/>
          <w:szCs w:val="22"/>
        </w:rPr>
        <w:t>Demonstrate a record of providing effective direct services to crime victims, which includes having the support and approval of the agency</w:t>
      </w:r>
      <w:r w:rsidR="00A8140A">
        <w:rPr>
          <w:rFonts w:eastAsia="Arial"/>
          <w:color w:val="000000"/>
          <w:sz w:val="22"/>
          <w:szCs w:val="22"/>
        </w:rPr>
        <w:t>’</w:t>
      </w:r>
      <w:r w:rsidRPr="001363DD">
        <w:rPr>
          <w:rFonts w:eastAsia="Arial"/>
          <w:color w:val="000000"/>
          <w:sz w:val="22"/>
          <w:szCs w:val="22"/>
        </w:rPr>
        <w:t xml:space="preserve">s services by the community or target population, a history of providing direct services in a cost-effective manner, and having substantial financial support from non-federal sources. </w:t>
      </w:r>
    </w:p>
    <w:p w14:paraId="69FDC940" w14:textId="46722ED6" w:rsidR="00BC10B9" w:rsidRPr="001363DD" w:rsidRDefault="004B7268" w:rsidP="0006197B">
      <w:pPr>
        <w:numPr>
          <w:ilvl w:val="0"/>
          <w:numId w:val="26"/>
        </w:numPr>
        <w:pBdr>
          <w:top w:val="nil"/>
          <w:left w:val="nil"/>
          <w:bottom w:val="nil"/>
          <w:right w:val="nil"/>
          <w:between w:val="nil"/>
        </w:pBdr>
        <w:spacing w:after="60"/>
        <w:rPr>
          <w:rFonts w:eastAsia="Arial"/>
          <w:color w:val="000000"/>
          <w:sz w:val="22"/>
          <w:szCs w:val="22"/>
        </w:rPr>
      </w:pPr>
      <w:r>
        <w:rPr>
          <w:rFonts w:eastAsia="Arial"/>
          <w:color w:val="000000"/>
          <w:sz w:val="22"/>
          <w:szCs w:val="22"/>
        </w:rPr>
        <w:lastRenderedPageBreak/>
        <w:t xml:space="preserve">Provide services </w:t>
      </w:r>
      <w:r w:rsidR="00343567" w:rsidRPr="001363DD">
        <w:rPr>
          <w:rFonts w:eastAsia="Arial"/>
          <w:color w:val="000000"/>
          <w:sz w:val="22"/>
          <w:szCs w:val="22"/>
        </w:rPr>
        <w:t>to victims of crime</w:t>
      </w:r>
      <w:r w:rsidR="00343567" w:rsidRPr="001363DD">
        <w:rPr>
          <w:rFonts w:eastAsia="Arial"/>
          <w:sz w:val="22"/>
          <w:szCs w:val="22"/>
        </w:rPr>
        <w:t>.</w:t>
      </w:r>
    </w:p>
    <w:p w14:paraId="481E99FB" w14:textId="77777777" w:rsidR="00BC10B9" w:rsidRPr="001363DD" w:rsidRDefault="00343567" w:rsidP="0006197B">
      <w:pPr>
        <w:numPr>
          <w:ilvl w:val="0"/>
          <w:numId w:val="26"/>
        </w:numPr>
        <w:pBdr>
          <w:top w:val="nil"/>
          <w:left w:val="nil"/>
          <w:bottom w:val="nil"/>
          <w:right w:val="nil"/>
          <w:between w:val="nil"/>
        </w:pBdr>
        <w:spacing w:after="60"/>
        <w:rPr>
          <w:rFonts w:eastAsia="Arial"/>
          <w:sz w:val="22"/>
          <w:szCs w:val="22"/>
        </w:rPr>
      </w:pPr>
      <w:r w:rsidRPr="001363DD">
        <w:rPr>
          <w:rFonts w:eastAsia="Arial"/>
          <w:sz w:val="22"/>
          <w:szCs w:val="22"/>
        </w:rPr>
        <w:t xml:space="preserve">Promote within the community being served a coordination of public and private efforts to serve and aid crime victims. </w:t>
      </w:r>
    </w:p>
    <w:p w14:paraId="59060414" w14:textId="77777777" w:rsidR="00BC10B9" w:rsidRPr="001363DD" w:rsidRDefault="00343567" w:rsidP="0006197B">
      <w:pPr>
        <w:numPr>
          <w:ilvl w:val="0"/>
          <w:numId w:val="26"/>
        </w:numPr>
        <w:pBdr>
          <w:top w:val="nil"/>
          <w:left w:val="nil"/>
          <w:bottom w:val="nil"/>
          <w:right w:val="nil"/>
          <w:between w:val="nil"/>
        </w:pBdr>
        <w:spacing w:after="60"/>
        <w:rPr>
          <w:rFonts w:eastAsia="Arial"/>
          <w:sz w:val="22"/>
          <w:szCs w:val="22"/>
        </w:rPr>
      </w:pPr>
      <w:r w:rsidRPr="001363DD">
        <w:rPr>
          <w:rFonts w:eastAsia="Arial"/>
          <w:sz w:val="22"/>
          <w:szCs w:val="22"/>
        </w:rPr>
        <w:t xml:space="preserve">Meet program match requirements. </w:t>
      </w:r>
    </w:p>
    <w:p w14:paraId="56D7618F" w14:textId="77777777" w:rsidR="00BC10B9" w:rsidRPr="001363DD" w:rsidRDefault="00343567" w:rsidP="0006197B">
      <w:pPr>
        <w:numPr>
          <w:ilvl w:val="0"/>
          <w:numId w:val="26"/>
        </w:numPr>
        <w:pBdr>
          <w:top w:val="nil"/>
          <w:left w:val="nil"/>
          <w:bottom w:val="nil"/>
          <w:right w:val="nil"/>
          <w:between w:val="nil"/>
        </w:pBdr>
        <w:spacing w:after="60"/>
        <w:rPr>
          <w:rFonts w:eastAsia="Arial"/>
          <w:sz w:val="22"/>
          <w:szCs w:val="22"/>
        </w:rPr>
      </w:pPr>
      <w:r w:rsidRPr="001363DD">
        <w:rPr>
          <w:rFonts w:eastAsia="Arial"/>
          <w:sz w:val="22"/>
          <w:szCs w:val="22"/>
        </w:rPr>
        <w:t xml:space="preserve">Assist victims of crime in seeking crime victim compensation benefits. </w:t>
      </w:r>
    </w:p>
    <w:p w14:paraId="1FC6932D" w14:textId="77777777" w:rsidR="00BC10B9" w:rsidRPr="001363DD" w:rsidRDefault="00343567" w:rsidP="0006197B">
      <w:pPr>
        <w:numPr>
          <w:ilvl w:val="0"/>
          <w:numId w:val="26"/>
        </w:numPr>
        <w:pBdr>
          <w:top w:val="nil"/>
          <w:left w:val="nil"/>
          <w:bottom w:val="nil"/>
          <w:right w:val="nil"/>
          <w:between w:val="nil"/>
        </w:pBdr>
        <w:spacing w:after="60"/>
        <w:rPr>
          <w:rFonts w:eastAsia="Arial"/>
          <w:sz w:val="22"/>
          <w:szCs w:val="22"/>
        </w:rPr>
      </w:pPr>
      <w:r w:rsidRPr="001363DD">
        <w:rPr>
          <w:rFonts w:eastAsia="Arial"/>
          <w:sz w:val="22"/>
          <w:szCs w:val="22"/>
        </w:rPr>
        <w:t xml:space="preserve">Utilize volunteers significantly in project activities. </w:t>
      </w:r>
    </w:p>
    <w:p w14:paraId="2008F23A" w14:textId="77777777" w:rsidR="00BC10B9" w:rsidRPr="001363DD" w:rsidRDefault="00343567" w:rsidP="0006197B">
      <w:pPr>
        <w:numPr>
          <w:ilvl w:val="0"/>
          <w:numId w:val="26"/>
        </w:numPr>
        <w:pBdr>
          <w:top w:val="nil"/>
          <w:left w:val="nil"/>
          <w:bottom w:val="nil"/>
          <w:right w:val="nil"/>
          <w:between w:val="nil"/>
        </w:pBdr>
        <w:spacing w:after="60"/>
        <w:rPr>
          <w:rFonts w:eastAsia="Arial"/>
          <w:sz w:val="22"/>
          <w:szCs w:val="22"/>
        </w:rPr>
      </w:pPr>
      <w:r w:rsidRPr="001363DD">
        <w:rPr>
          <w:rFonts w:eastAsia="Arial"/>
          <w:sz w:val="22"/>
          <w:szCs w:val="22"/>
        </w:rPr>
        <w:t xml:space="preserve">Provide program information to the majority of agencies that assist with victims of crime in your service delivery area. </w:t>
      </w:r>
    </w:p>
    <w:p w14:paraId="12415C7C" w14:textId="16B41EC3" w:rsidR="00BC10B9" w:rsidRPr="001363DD" w:rsidRDefault="00343567" w:rsidP="0006197B">
      <w:pPr>
        <w:numPr>
          <w:ilvl w:val="0"/>
          <w:numId w:val="26"/>
        </w:numPr>
        <w:pBdr>
          <w:top w:val="nil"/>
          <w:left w:val="nil"/>
          <w:bottom w:val="nil"/>
          <w:right w:val="nil"/>
          <w:between w:val="nil"/>
        </w:pBdr>
        <w:spacing w:after="60"/>
        <w:rPr>
          <w:rFonts w:eastAsia="Arial"/>
          <w:sz w:val="22"/>
          <w:szCs w:val="22"/>
        </w:rPr>
      </w:pPr>
      <w:r w:rsidRPr="001363DD">
        <w:rPr>
          <w:rFonts w:eastAsia="Arial"/>
          <w:sz w:val="22"/>
          <w:szCs w:val="22"/>
        </w:rPr>
        <w:t>Maintain statutorily-required civil rights statistics on victims served by race or national origin, sex, age, and disability, within the grant period and permit access to any documents, papers, and r</w:t>
      </w:r>
      <w:r w:rsidR="00E15F23">
        <w:rPr>
          <w:rFonts w:eastAsia="Arial"/>
          <w:sz w:val="22"/>
          <w:szCs w:val="22"/>
        </w:rPr>
        <w:t xml:space="preserve">ecords to determine that the </w:t>
      </w:r>
      <w:r w:rsidRPr="001363DD">
        <w:rPr>
          <w:rFonts w:eastAsia="Arial"/>
          <w:sz w:val="22"/>
          <w:szCs w:val="22"/>
        </w:rPr>
        <w:t xml:space="preserve">grantee is complying with applicable civil rights laws. </w:t>
      </w:r>
    </w:p>
    <w:p w14:paraId="7085CA79" w14:textId="77777777" w:rsidR="00BC10B9" w:rsidRPr="001363DD" w:rsidRDefault="00343567" w:rsidP="0006197B">
      <w:pPr>
        <w:numPr>
          <w:ilvl w:val="0"/>
          <w:numId w:val="26"/>
        </w:numPr>
        <w:pBdr>
          <w:top w:val="nil"/>
          <w:left w:val="nil"/>
          <w:bottom w:val="nil"/>
          <w:right w:val="nil"/>
          <w:between w:val="nil"/>
        </w:pBdr>
        <w:spacing w:after="60"/>
        <w:rPr>
          <w:rFonts w:eastAsia="Arial"/>
          <w:sz w:val="22"/>
          <w:szCs w:val="22"/>
        </w:rPr>
      </w:pPr>
      <w:r w:rsidRPr="001363DD">
        <w:rPr>
          <w:rFonts w:eastAsia="Arial"/>
          <w:sz w:val="22"/>
          <w:szCs w:val="22"/>
        </w:rPr>
        <w:t xml:space="preserve">Provide services to crime victims at no charge. </w:t>
      </w:r>
    </w:p>
    <w:p w14:paraId="57B58475" w14:textId="77777777" w:rsidR="00BC10B9" w:rsidRPr="001363DD" w:rsidRDefault="00343567" w:rsidP="0006197B">
      <w:pPr>
        <w:numPr>
          <w:ilvl w:val="0"/>
          <w:numId w:val="26"/>
        </w:numPr>
        <w:pBdr>
          <w:top w:val="nil"/>
          <w:left w:val="nil"/>
          <w:bottom w:val="nil"/>
          <w:right w:val="nil"/>
          <w:between w:val="nil"/>
        </w:pBdr>
        <w:spacing w:after="60"/>
        <w:rPr>
          <w:rFonts w:eastAsia="Arial"/>
          <w:sz w:val="22"/>
          <w:szCs w:val="22"/>
        </w:rPr>
      </w:pPr>
      <w:r w:rsidRPr="001363DD">
        <w:rPr>
          <w:rFonts w:eastAsia="Arial"/>
          <w:sz w:val="22"/>
          <w:szCs w:val="22"/>
        </w:rPr>
        <w:t>Maintain confidentiality of victim information.</w:t>
      </w:r>
    </w:p>
    <w:p w14:paraId="69A76A1F" w14:textId="77777777" w:rsidR="00BC10B9" w:rsidRPr="001363DD" w:rsidRDefault="00343567" w:rsidP="0006197B">
      <w:pPr>
        <w:numPr>
          <w:ilvl w:val="0"/>
          <w:numId w:val="26"/>
        </w:numPr>
        <w:pBdr>
          <w:top w:val="nil"/>
          <w:left w:val="nil"/>
          <w:bottom w:val="nil"/>
          <w:right w:val="nil"/>
          <w:between w:val="nil"/>
        </w:pBdr>
        <w:spacing w:after="60"/>
        <w:rPr>
          <w:rFonts w:eastAsia="Arial"/>
          <w:sz w:val="22"/>
          <w:szCs w:val="22"/>
        </w:rPr>
      </w:pPr>
      <w:r w:rsidRPr="001363DD">
        <w:rPr>
          <w:rFonts w:eastAsia="Arial"/>
          <w:sz w:val="22"/>
          <w:szCs w:val="22"/>
        </w:rPr>
        <w:t>Comply with DCJS requirements and provide statistical and programmatic information about staff, volunteers, and victims served.</w:t>
      </w:r>
    </w:p>
    <w:p w14:paraId="569F1D7F" w14:textId="77777777" w:rsidR="00BC10B9" w:rsidRPr="001363DD" w:rsidRDefault="00343567" w:rsidP="0006197B">
      <w:pPr>
        <w:numPr>
          <w:ilvl w:val="0"/>
          <w:numId w:val="26"/>
        </w:numPr>
        <w:pBdr>
          <w:top w:val="nil"/>
          <w:left w:val="nil"/>
          <w:bottom w:val="nil"/>
          <w:right w:val="nil"/>
          <w:between w:val="nil"/>
        </w:pBdr>
        <w:spacing w:after="60"/>
        <w:rPr>
          <w:rFonts w:eastAsia="Arial"/>
          <w:sz w:val="22"/>
          <w:szCs w:val="22"/>
        </w:rPr>
      </w:pPr>
      <w:r w:rsidRPr="001363DD">
        <w:rPr>
          <w:rFonts w:eastAsia="Arial"/>
          <w:sz w:val="22"/>
          <w:szCs w:val="22"/>
        </w:rPr>
        <w:t>Provide services as defined by DCJS and/or the federal Office for Victims of Crime (OVC) and collected through the OVC Performance Measurement Tool (PMT).</w:t>
      </w:r>
    </w:p>
    <w:p w14:paraId="313B831B" w14:textId="77777777" w:rsidR="00BC10B9" w:rsidRPr="001363DD" w:rsidRDefault="00343567" w:rsidP="0006197B">
      <w:pPr>
        <w:numPr>
          <w:ilvl w:val="0"/>
          <w:numId w:val="26"/>
        </w:numPr>
        <w:pBdr>
          <w:top w:val="nil"/>
          <w:left w:val="nil"/>
          <w:bottom w:val="nil"/>
          <w:right w:val="nil"/>
          <w:between w:val="nil"/>
        </w:pBdr>
        <w:spacing w:after="60"/>
        <w:rPr>
          <w:rFonts w:eastAsia="Arial"/>
          <w:sz w:val="22"/>
          <w:szCs w:val="22"/>
        </w:rPr>
      </w:pPr>
      <w:r w:rsidRPr="001363DD">
        <w:rPr>
          <w:rFonts w:eastAsia="Arial"/>
          <w:sz w:val="22"/>
          <w:szCs w:val="22"/>
        </w:rPr>
        <w:t>Provide services to victims of federal crimes on the same basis as victims of state/local crimes.</w:t>
      </w:r>
    </w:p>
    <w:p w14:paraId="532160D9" w14:textId="16FF8B75" w:rsidR="00BC10B9" w:rsidRPr="001363DD" w:rsidRDefault="00343567" w:rsidP="0006197B">
      <w:pPr>
        <w:numPr>
          <w:ilvl w:val="0"/>
          <w:numId w:val="26"/>
        </w:numPr>
        <w:pBdr>
          <w:top w:val="nil"/>
          <w:left w:val="nil"/>
          <w:bottom w:val="nil"/>
          <w:right w:val="nil"/>
          <w:between w:val="nil"/>
        </w:pBdr>
        <w:spacing w:after="60"/>
        <w:rPr>
          <w:rFonts w:eastAsia="Arial"/>
          <w:sz w:val="22"/>
          <w:szCs w:val="22"/>
        </w:rPr>
      </w:pPr>
      <w:r w:rsidRPr="001363DD">
        <w:rPr>
          <w:rFonts w:eastAsia="Arial"/>
          <w:sz w:val="22"/>
          <w:szCs w:val="22"/>
        </w:rPr>
        <w:t xml:space="preserve">Comply with federal rules regulating grants. Grant recipients must comply with the applicable provisions of the VOCA Rule and requirements of the Office of Justice Programs Financial Guide, effective edition, which includes maintaining appropriate programmatic and financial records that fully disclose the amount and disposition of VOCA funds received. This includes: financial documentation for disbursements; daily time and attendance records specifying time devoted to allowable VOCA victim services; documentation of victims served; the portion of the project supplied by other sources of revenue; job descriptions; contracts for services; and other records </w:t>
      </w:r>
      <w:r w:rsidR="0056726E">
        <w:rPr>
          <w:rFonts w:eastAsia="Arial"/>
          <w:sz w:val="22"/>
          <w:szCs w:val="22"/>
        </w:rPr>
        <w:t>that</w:t>
      </w:r>
      <w:r w:rsidR="0056726E" w:rsidRPr="001363DD">
        <w:rPr>
          <w:rFonts w:eastAsia="Arial"/>
          <w:sz w:val="22"/>
          <w:szCs w:val="22"/>
        </w:rPr>
        <w:t xml:space="preserve"> </w:t>
      </w:r>
      <w:r w:rsidRPr="001363DD">
        <w:rPr>
          <w:rFonts w:eastAsia="Arial"/>
          <w:sz w:val="22"/>
          <w:szCs w:val="22"/>
        </w:rPr>
        <w:t xml:space="preserve">facilitate an effective audit. </w:t>
      </w:r>
    </w:p>
    <w:p w14:paraId="428D4DF5" w14:textId="77777777" w:rsidR="00BC10B9" w:rsidRPr="001363DD" w:rsidRDefault="00343567" w:rsidP="0006197B">
      <w:pPr>
        <w:numPr>
          <w:ilvl w:val="0"/>
          <w:numId w:val="26"/>
        </w:numPr>
        <w:pBdr>
          <w:top w:val="nil"/>
          <w:left w:val="nil"/>
          <w:bottom w:val="nil"/>
          <w:right w:val="nil"/>
          <w:between w:val="nil"/>
        </w:pBdr>
        <w:spacing w:after="60"/>
        <w:rPr>
          <w:rFonts w:eastAsia="Arial"/>
          <w:sz w:val="22"/>
          <w:szCs w:val="22"/>
        </w:rPr>
      </w:pPr>
      <w:r w:rsidRPr="001363DD">
        <w:rPr>
          <w:rFonts w:eastAsia="Arial"/>
          <w:sz w:val="22"/>
          <w:szCs w:val="22"/>
        </w:rPr>
        <w:t xml:space="preserve">Be in good standing with all state and federal agencies with which they have had an existing grant or contractual relationship. Where appropriate, all applicants must hold current professional and state licenses and certifications. </w:t>
      </w:r>
    </w:p>
    <w:p w14:paraId="41F483C6" w14:textId="77777777" w:rsidR="00BC10B9" w:rsidRPr="00A84173" w:rsidRDefault="00343567" w:rsidP="00571DE4">
      <w:pPr>
        <w:numPr>
          <w:ilvl w:val="0"/>
          <w:numId w:val="26"/>
        </w:numPr>
        <w:pBdr>
          <w:top w:val="nil"/>
          <w:left w:val="nil"/>
          <w:bottom w:val="nil"/>
          <w:right w:val="nil"/>
          <w:between w:val="nil"/>
        </w:pBdr>
        <w:rPr>
          <w:rFonts w:eastAsia="Arial"/>
          <w:sz w:val="22"/>
          <w:szCs w:val="22"/>
        </w:rPr>
      </w:pPr>
      <w:r w:rsidRPr="00A84173">
        <w:rPr>
          <w:rFonts w:eastAsia="Arial"/>
          <w:sz w:val="22"/>
          <w:szCs w:val="22"/>
        </w:rPr>
        <w:t>Have a current Data Universal Numbering System (DUNS) number and registration with the System for Award Management (SAM), formerly the Central Contractor Registration (CCR).</w:t>
      </w:r>
    </w:p>
    <w:p w14:paraId="61CE72AC" w14:textId="77777777" w:rsidR="00BC10B9" w:rsidRPr="001363DD" w:rsidRDefault="00BC10B9" w:rsidP="00EB415B">
      <w:pPr>
        <w:pBdr>
          <w:top w:val="nil"/>
          <w:left w:val="nil"/>
          <w:bottom w:val="nil"/>
          <w:right w:val="nil"/>
          <w:between w:val="nil"/>
        </w:pBdr>
        <w:rPr>
          <w:rFonts w:eastAsia="Arial"/>
          <w:sz w:val="22"/>
          <w:szCs w:val="22"/>
        </w:rPr>
      </w:pPr>
      <w:bookmarkStart w:id="10" w:name="_3dy6vkm" w:colFirst="0" w:colLast="0"/>
      <w:bookmarkEnd w:id="10"/>
    </w:p>
    <w:p w14:paraId="481220A7" w14:textId="77777777" w:rsidR="00BC10B9" w:rsidRPr="008E25E0" w:rsidRDefault="00343567" w:rsidP="0006197B">
      <w:pPr>
        <w:pStyle w:val="ListParagraph"/>
        <w:numPr>
          <w:ilvl w:val="0"/>
          <w:numId w:val="25"/>
        </w:numPr>
        <w:pBdr>
          <w:top w:val="nil"/>
          <w:left w:val="nil"/>
          <w:bottom w:val="nil"/>
          <w:right w:val="nil"/>
          <w:between w:val="nil"/>
        </w:pBdr>
        <w:spacing w:before="120"/>
        <w:ind w:left="720"/>
        <w:outlineLvl w:val="1"/>
        <w:rPr>
          <w:rFonts w:eastAsia="Arial"/>
          <w:b/>
          <w:sz w:val="22"/>
          <w:szCs w:val="22"/>
        </w:rPr>
      </w:pPr>
      <w:bookmarkStart w:id="11" w:name="_1ksv4uv" w:colFirst="0" w:colLast="0"/>
      <w:bookmarkStart w:id="12" w:name="_Toc2677818"/>
      <w:bookmarkEnd w:id="11"/>
      <w:r w:rsidRPr="008E25E0">
        <w:rPr>
          <w:rFonts w:eastAsia="Arial"/>
          <w:b/>
          <w:sz w:val="22"/>
          <w:szCs w:val="22"/>
        </w:rPr>
        <w:t>Program Requirements</w:t>
      </w:r>
      <w:bookmarkEnd w:id="12"/>
    </w:p>
    <w:p w14:paraId="2C53B55E" w14:textId="59CBA07E" w:rsidR="00BC10B9" w:rsidRDefault="00343567" w:rsidP="0006197B">
      <w:pPr>
        <w:spacing w:after="60"/>
        <w:ind w:left="720"/>
        <w:rPr>
          <w:rFonts w:eastAsia="Arial"/>
          <w:sz w:val="22"/>
          <w:szCs w:val="22"/>
        </w:rPr>
      </w:pPr>
      <w:r w:rsidRPr="001363DD">
        <w:rPr>
          <w:rFonts w:eastAsia="Arial"/>
          <w:sz w:val="22"/>
          <w:szCs w:val="22"/>
        </w:rPr>
        <w:t>By applying for these grant funds, the applicant asserts that they have read, understand, and will comply with the following state and federal requirements and policies</w:t>
      </w:r>
      <w:r w:rsidR="0056726E">
        <w:rPr>
          <w:rFonts w:eastAsia="Arial"/>
          <w:sz w:val="22"/>
          <w:szCs w:val="22"/>
        </w:rPr>
        <w:t>.</w:t>
      </w:r>
      <w:r w:rsidR="006746BE">
        <w:rPr>
          <w:rFonts w:eastAsia="Arial"/>
          <w:sz w:val="22"/>
          <w:szCs w:val="22"/>
        </w:rPr>
        <w:t xml:space="preserve"> </w:t>
      </w:r>
      <w:r w:rsidR="0056726E">
        <w:rPr>
          <w:rFonts w:eastAsia="Arial"/>
          <w:sz w:val="22"/>
          <w:szCs w:val="22"/>
        </w:rPr>
        <w:t>C</w:t>
      </w:r>
      <w:r w:rsidR="001A020D">
        <w:rPr>
          <w:rFonts w:eastAsia="Arial"/>
          <w:sz w:val="22"/>
          <w:szCs w:val="22"/>
        </w:rPr>
        <w:t xml:space="preserve">lick each topic below </w:t>
      </w:r>
      <w:r w:rsidR="0056726E">
        <w:rPr>
          <w:rFonts w:eastAsia="Arial"/>
          <w:sz w:val="22"/>
          <w:szCs w:val="22"/>
        </w:rPr>
        <w:t>for</w:t>
      </w:r>
      <w:r w:rsidR="001A020D">
        <w:rPr>
          <w:rFonts w:eastAsia="Arial"/>
          <w:sz w:val="22"/>
          <w:szCs w:val="22"/>
        </w:rPr>
        <w:t xml:space="preserve"> additional information</w:t>
      </w:r>
      <w:r w:rsidRPr="001363DD">
        <w:rPr>
          <w:rFonts w:eastAsia="Arial"/>
          <w:sz w:val="22"/>
          <w:szCs w:val="22"/>
        </w:rPr>
        <w:t>:</w:t>
      </w:r>
    </w:p>
    <w:p w14:paraId="744DBB34" w14:textId="77777777" w:rsidR="004B7268" w:rsidRPr="002E423E" w:rsidRDefault="0020603E" w:rsidP="004B7268">
      <w:pPr>
        <w:spacing w:after="120"/>
        <w:ind w:left="1440" w:hanging="360"/>
        <w:rPr>
          <w:rFonts w:eastAsia="Arial"/>
          <w:b/>
          <w:smallCaps/>
          <w:sz w:val="22"/>
          <w:szCs w:val="22"/>
        </w:rPr>
      </w:pPr>
      <w:hyperlink r:id="rId10">
        <w:r w:rsidR="004B7268" w:rsidRPr="002E423E">
          <w:rPr>
            <w:rFonts w:eastAsia="Arial"/>
            <w:b/>
            <w:color w:val="1155CC"/>
            <w:sz w:val="22"/>
            <w:szCs w:val="22"/>
            <w:u w:val="single"/>
          </w:rPr>
          <w:t>VOCA Rule</w:t>
        </w:r>
      </w:hyperlink>
    </w:p>
    <w:p w14:paraId="6513AFD3" w14:textId="77777777" w:rsidR="004B7268" w:rsidRPr="002E423E" w:rsidRDefault="0020603E" w:rsidP="004B7268">
      <w:pPr>
        <w:pBdr>
          <w:top w:val="nil"/>
          <w:left w:val="nil"/>
          <w:bottom w:val="nil"/>
          <w:right w:val="nil"/>
          <w:between w:val="nil"/>
        </w:pBdr>
        <w:spacing w:after="120"/>
        <w:ind w:left="1440" w:hanging="360"/>
        <w:rPr>
          <w:rFonts w:eastAsia="Arial"/>
          <w:b/>
          <w:color w:val="1155CC"/>
          <w:sz w:val="22"/>
          <w:szCs w:val="22"/>
          <w:u w:val="single"/>
        </w:rPr>
      </w:pPr>
      <w:hyperlink r:id="rId11">
        <w:r w:rsidR="004B7268" w:rsidRPr="002E423E">
          <w:rPr>
            <w:rFonts w:eastAsia="Arial"/>
            <w:b/>
            <w:color w:val="1155CC"/>
            <w:sz w:val="22"/>
            <w:szCs w:val="22"/>
            <w:u w:val="single"/>
          </w:rPr>
          <w:t>Department of Justice Financial Guide</w:t>
        </w:r>
      </w:hyperlink>
    </w:p>
    <w:p w14:paraId="3F4D2E42" w14:textId="77777777" w:rsidR="004B7268" w:rsidRPr="002E423E" w:rsidRDefault="0020603E" w:rsidP="004B7268">
      <w:pPr>
        <w:spacing w:after="120"/>
        <w:ind w:left="1440" w:hanging="360"/>
        <w:rPr>
          <w:rFonts w:eastAsia="Arial"/>
          <w:b/>
          <w:smallCaps/>
          <w:sz w:val="22"/>
          <w:szCs w:val="22"/>
        </w:rPr>
      </w:pPr>
      <w:hyperlink r:id="rId12">
        <w:r w:rsidR="004B7268" w:rsidRPr="002E423E">
          <w:rPr>
            <w:rFonts w:eastAsia="Arial"/>
            <w:b/>
            <w:color w:val="1155CC"/>
            <w:sz w:val="22"/>
            <w:szCs w:val="22"/>
            <w:u w:val="single"/>
          </w:rPr>
          <w:t>Civil Rights</w:t>
        </w:r>
      </w:hyperlink>
      <w:r w:rsidR="004B7268" w:rsidRPr="002E423E">
        <w:rPr>
          <w:rFonts w:eastAsia="Arial"/>
          <w:b/>
          <w:sz w:val="22"/>
          <w:szCs w:val="22"/>
        </w:rPr>
        <w:t xml:space="preserve"> </w:t>
      </w:r>
    </w:p>
    <w:p w14:paraId="0EF47671" w14:textId="77777777" w:rsidR="004B7268" w:rsidRPr="002E423E" w:rsidRDefault="0020603E" w:rsidP="004B7268">
      <w:pPr>
        <w:spacing w:after="120"/>
        <w:ind w:left="1440" w:hanging="360"/>
        <w:rPr>
          <w:rFonts w:eastAsia="Arial"/>
          <w:b/>
          <w:smallCaps/>
          <w:sz w:val="22"/>
          <w:szCs w:val="22"/>
        </w:rPr>
      </w:pPr>
      <w:hyperlink r:id="rId13">
        <w:r w:rsidR="004B7268" w:rsidRPr="002E423E">
          <w:rPr>
            <w:rFonts w:eastAsia="Arial"/>
            <w:b/>
            <w:color w:val="1155CC"/>
            <w:sz w:val="22"/>
            <w:szCs w:val="22"/>
            <w:u w:val="single"/>
          </w:rPr>
          <w:t>Nondiscrimination</w:t>
        </w:r>
      </w:hyperlink>
    </w:p>
    <w:p w14:paraId="53708612" w14:textId="77777777" w:rsidR="004B7268" w:rsidRPr="002E423E" w:rsidRDefault="0020603E" w:rsidP="004B7268">
      <w:pPr>
        <w:spacing w:after="120"/>
        <w:ind w:left="1440" w:hanging="360"/>
        <w:rPr>
          <w:rFonts w:eastAsia="Arial"/>
          <w:b/>
          <w:smallCaps/>
          <w:sz w:val="22"/>
          <w:szCs w:val="22"/>
        </w:rPr>
      </w:pPr>
      <w:hyperlink r:id="rId14">
        <w:r w:rsidR="004B7268" w:rsidRPr="002E423E">
          <w:rPr>
            <w:rFonts w:eastAsia="Arial"/>
            <w:b/>
            <w:color w:val="1155CC"/>
            <w:sz w:val="22"/>
            <w:szCs w:val="22"/>
            <w:u w:val="single"/>
          </w:rPr>
          <w:t>Limited English Proficiency (LEP) Individuals</w:t>
        </w:r>
      </w:hyperlink>
    </w:p>
    <w:p w14:paraId="1ED44326" w14:textId="77777777" w:rsidR="004B7268" w:rsidRPr="002E423E" w:rsidRDefault="0020603E" w:rsidP="004B7268">
      <w:pPr>
        <w:spacing w:after="120"/>
        <w:ind w:left="1440" w:hanging="360"/>
        <w:rPr>
          <w:rFonts w:eastAsia="Arial"/>
          <w:b/>
          <w:smallCaps/>
          <w:sz w:val="22"/>
          <w:szCs w:val="22"/>
        </w:rPr>
      </w:pPr>
      <w:hyperlink r:id="rId15">
        <w:r w:rsidR="004B7268" w:rsidRPr="002E423E">
          <w:rPr>
            <w:rFonts w:eastAsia="Arial"/>
            <w:b/>
            <w:color w:val="1155CC"/>
            <w:sz w:val="22"/>
            <w:szCs w:val="22"/>
            <w:u w:val="single"/>
          </w:rPr>
          <w:t>Equal Opportunity Plans</w:t>
        </w:r>
      </w:hyperlink>
    </w:p>
    <w:p w14:paraId="5020BDC7" w14:textId="77777777" w:rsidR="004B7268" w:rsidRPr="002E423E" w:rsidRDefault="0020603E" w:rsidP="004B7268">
      <w:pPr>
        <w:spacing w:after="120"/>
        <w:ind w:left="1440" w:hanging="360"/>
        <w:rPr>
          <w:rFonts w:eastAsia="Arial"/>
          <w:b/>
          <w:smallCaps/>
          <w:sz w:val="22"/>
          <w:szCs w:val="22"/>
        </w:rPr>
      </w:pPr>
      <w:hyperlink r:id="rId16">
        <w:r w:rsidR="004B7268" w:rsidRPr="002E423E">
          <w:rPr>
            <w:rFonts w:eastAsia="Arial"/>
            <w:b/>
            <w:color w:val="1155CC"/>
            <w:sz w:val="22"/>
            <w:szCs w:val="22"/>
            <w:u w:val="single"/>
          </w:rPr>
          <w:t>Financial and Progress Reporting</w:t>
        </w:r>
      </w:hyperlink>
    </w:p>
    <w:p w14:paraId="131D653F" w14:textId="77777777" w:rsidR="004B7268" w:rsidRPr="00C17E7C" w:rsidRDefault="004B7268" w:rsidP="004B7268">
      <w:pPr>
        <w:pBdr>
          <w:top w:val="nil"/>
          <w:left w:val="nil"/>
          <w:bottom w:val="nil"/>
          <w:right w:val="nil"/>
          <w:between w:val="nil"/>
        </w:pBdr>
        <w:ind w:left="1440" w:hanging="360"/>
        <w:rPr>
          <w:rFonts w:eastAsia="Arial"/>
          <w:sz w:val="22"/>
          <w:szCs w:val="22"/>
        </w:rPr>
      </w:pPr>
      <w:r w:rsidRPr="002E423E">
        <w:rPr>
          <w:rFonts w:eastAsia="Arial"/>
          <w:b/>
          <w:color w:val="1155CC"/>
          <w:sz w:val="22"/>
          <w:szCs w:val="22"/>
          <w:u w:val="single"/>
        </w:rPr>
        <w:t>Vehicle Ac</w:t>
      </w:r>
      <w:hyperlink r:id="rId17">
        <w:r w:rsidRPr="002E423E">
          <w:rPr>
            <w:rFonts w:eastAsia="Arial"/>
            <w:b/>
            <w:color w:val="1155CC"/>
            <w:sz w:val="22"/>
            <w:szCs w:val="22"/>
            <w:u w:val="single"/>
          </w:rPr>
          <w:t>quisition</w:t>
        </w:r>
      </w:hyperlink>
      <w:r w:rsidRPr="002E423E">
        <w:rPr>
          <w:rFonts w:eastAsia="Arial"/>
          <w:b/>
          <w:smallCaps/>
          <w:sz w:val="22"/>
          <w:szCs w:val="22"/>
        </w:rPr>
        <w:t xml:space="preserve"> </w:t>
      </w:r>
      <w:r w:rsidRPr="00C17E7C">
        <w:rPr>
          <w:rFonts w:eastAsia="Arial"/>
          <w:sz w:val="22"/>
          <w:szCs w:val="22"/>
        </w:rPr>
        <w:t>(DOJ Grants Financial Guide, Section 3.7 Property Standards; and the Uniform Administrative Requirements, Cost Principles, and Audit Requirements for Federal Awards, Property Standards, 2 CFR §200.310 through 2 CFR §200.316)</w:t>
      </w:r>
    </w:p>
    <w:p w14:paraId="5B8E9836" w14:textId="02EA6347" w:rsidR="00BC10B9" w:rsidRPr="001363DD" w:rsidRDefault="00BC10B9" w:rsidP="004B7268">
      <w:pPr>
        <w:pBdr>
          <w:top w:val="nil"/>
          <w:left w:val="nil"/>
          <w:bottom w:val="nil"/>
          <w:right w:val="nil"/>
          <w:between w:val="nil"/>
        </w:pBdr>
        <w:rPr>
          <w:rFonts w:eastAsia="Arial"/>
          <w:sz w:val="22"/>
          <w:szCs w:val="22"/>
        </w:rPr>
      </w:pPr>
    </w:p>
    <w:p w14:paraId="08723F44" w14:textId="77777777" w:rsidR="00BC10B9" w:rsidRPr="001363DD" w:rsidRDefault="00343567" w:rsidP="008E25E0">
      <w:pPr>
        <w:ind w:left="720"/>
        <w:rPr>
          <w:rFonts w:eastAsia="Arial"/>
          <w:sz w:val="22"/>
          <w:szCs w:val="22"/>
        </w:rPr>
      </w:pPr>
      <w:r w:rsidRPr="001363DD">
        <w:rPr>
          <w:rFonts w:eastAsia="Arial"/>
          <w:sz w:val="22"/>
          <w:szCs w:val="22"/>
        </w:rPr>
        <w:t>In accordance with a Criminal Justice Services Board policy, applicable to all DCJS grant programs, no current recipient of funding will be considered for continuation funding if, as of the grant application due date, any of the required Financial and Progress reports for the current grant are more than 30 days overdue. For good cause, submitted in writing, DCJS may waive this provision.</w:t>
      </w:r>
    </w:p>
    <w:p w14:paraId="21F1B98B" w14:textId="77777777" w:rsidR="00BC10B9" w:rsidRPr="001363DD" w:rsidRDefault="00BC10B9" w:rsidP="00EB415B">
      <w:pPr>
        <w:pBdr>
          <w:top w:val="nil"/>
          <w:left w:val="nil"/>
          <w:bottom w:val="nil"/>
          <w:right w:val="nil"/>
          <w:between w:val="nil"/>
        </w:pBdr>
        <w:ind w:left="720" w:hanging="720"/>
        <w:rPr>
          <w:rFonts w:eastAsia="Arial"/>
          <w:sz w:val="22"/>
          <w:szCs w:val="22"/>
        </w:rPr>
      </w:pPr>
    </w:p>
    <w:p w14:paraId="5167D8EB" w14:textId="68F18AB1" w:rsidR="00BC10B9" w:rsidRPr="00AD541F" w:rsidRDefault="00343567" w:rsidP="0006197B">
      <w:pPr>
        <w:pStyle w:val="ListParagraph"/>
        <w:numPr>
          <w:ilvl w:val="0"/>
          <w:numId w:val="25"/>
        </w:numPr>
        <w:pBdr>
          <w:top w:val="nil"/>
          <w:left w:val="nil"/>
          <w:bottom w:val="nil"/>
          <w:right w:val="nil"/>
          <w:between w:val="nil"/>
        </w:pBdr>
        <w:spacing w:before="120"/>
        <w:ind w:left="720"/>
        <w:outlineLvl w:val="1"/>
        <w:rPr>
          <w:rFonts w:eastAsia="Arial"/>
          <w:b/>
          <w:sz w:val="22"/>
          <w:szCs w:val="22"/>
        </w:rPr>
      </w:pPr>
      <w:bookmarkStart w:id="13" w:name="_Toc2677819"/>
      <w:r w:rsidRPr="00AD541F">
        <w:rPr>
          <w:rFonts w:eastAsia="Arial"/>
          <w:b/>
          <w:sz w:val="22"/>
          <w:szCs w:val="22"/>
        </w:rPr>
        <w:t>Projected Maximum Awards for FY 2020</w:t>
      </w:r>
      <w:r w:rsidR="005925AC">
        <w:rPr>
          <w:rFonts w:eastAsia="Arial"/>
          <w:b/>
          <w:sz w:val="22"/>
          <w:szCs w:val="22"/>
        </w:rPr>
        <w:t xml:space="preserve"> and</w:t>
      </w:r>
      <w:r w:rsidRPr="00AD541F">
        <w:rPr>
          <w:rFonts w:eastAsia="Arial"/>
          <w:b/>
          <w:sz w:val="22"/>
          <w:szCs w:val="22"/>
        </w:rPr>
        <w:t xml:space="preserve"> 2021</w:t>
      </w:r>
      <w:bookmarkEnd w:id="13"/>
    </w:p>
    <w:p w14:paraId="297CB060" w14:textId="023A9113" w:rsidR="003020BD" w:rsidRPr="001363DD" w:rsidRDefault="003020BD" w:rsidP="004B7268">
      <w:pPr>
        <w:ind w:left="720"/>
        <w:rPr>
          <w:rFonts w:eastAsia="Arial"/>
          <w:sz w:val="22"/>
          <w:szCs w:val="22"/>
        </w:rPr>
      </w:pPr>
      <w:r w:rsidRPr="001363DD">
        <w:rPr>
          <w:rFonts w:eastAsia="Arial"/>
          <w:sz w:val="22"/>
          <w:szCs w:val="22"/>
        </w:rPr>
        <w:t>Applicants can apply</w:t>
      </w:r>
      <w:r w:rsidR="004077BF">
        <w:rPr>
          <w:rFonts w:eastAsia="Arial"/>
          <w:sz w:val="22"/>
          <w:szCs w:val="22"/>
        </w:rPr>
        <w:t xml:space="preserve"> for a maximum of </w:t>
      </w:r>
      <w:r w:rsidRPr="006746BE">
        <w:rPr>
          <w:rFonts w:eastAsia="Arial"/>
          <w:sz w:val="22"/>
          <w:szCs w:val="22"/>
        </w:rPr>
        <w:t>$</w:t>
      </w:r>
      <w:r w:rsidR="004E1EAF" w:rsidRPr="006746BE">
        <w:rPr>
          <w:rFonts w:eastAsia="Arial"/>
          <w:sz w:val="22"/>
          <w:szCs w:val="22"/>
        </w:rPr>
        <w:t>3,300</w:t>
      </w:r>
      <w:r w:rsidRPr="006746BE">
        <w:rPr>
          <w:rFonts w:eastAsia="Arial"/>
          <w:sz w:val="22"/>
          <w:szCs w:val="22"/>
        </w:rPr>
        <w:t>,000</w:t>
      </w:r>
      <w:r>
        <w:rPr>
          <w:rFonts w:eastAsia="Arial"/>
          <w:sz w:val="22"/>
          <w:szCs w:val="22"/>
        </w:rPr>
        <w:t xml:space="preserve"> total award, including match,</w:t>
      </w:r>
      <w:r w:rsidRPr="001363DD">
        <w:rPr>
          <w:rFonts w:eastAsia="Arial"/>
          <w:sz w:val="22"/>
          <w:szCs w:val="22"/>
        </w:rPr>
        <w:t xml:space="preserve"> for each fiscal year. Applicants are required to provide 20</w:t>
      </w:r>
      <w:r>
        <w:rPr>
          <w:rFonts w:eastAsia="Arial"/>
          <w:sz w:val="22"/>
          <w:szCs w:val="22"/>
        </w:rPr>
        <w:t xml:space="preserve"> percent</w:t>
      </w:r>
      <w:r w:rsidRPr="001363DD">
        <w:rPr>
          <w:rFonts w:eastAsia="Arial"/>
          <w:sz w:val="22"/>
          <w:szCs w:val="22"/>
        </w:rPr>
        <w:t xml:space="preserve"> cash and/or in-kind matching funds</w:t>
      </w:r>
      <w:r>
        <w:rPr>
          <w:rFonts w:eastAsia="Arial"/>
          <w:sz w:val="22"/>
          <w:szCs w:val="22"/>
        </w:rPr>
        <w:t xml:space="preserve">, so a maximum award would be comprised of </w:t>
      </w:r>
      <w:r w:rsidRPr="006746BE">
        <w:rPr>
          <w:rFonts w:eastAsia="Arial"/>
          <w:color w:val="000000"/>
          <w:sz w:val="22"/>
          <w:szCs w:val="22"/>
        </w:rPr>
        <w:t>$2</w:t>
      </w:r>
      <w:r w:rsidR="004E1EAF" w:rsidRPr="006746BE">
        <w:rPr>
          <w:rFonts w:eastAsia="Arial"/>
          <w:color w:val="000000"/>
          <w:sz w:val="22"/>
          <w:szCs w:val="22"/>
        </w:rPr>
        <w:t>,640,000 in federal VOCA funds and $66</w:t>
      </w:r>
      <w:r w:rsidRPr="006746BE">
        <w:rPr>
          <w:rFonts w:eastAsia="Arial"/>
          <w:color w:val="000000"/>
          <w:sz w:val="22"/>
          <w:szCs w:val="22"/>
        </w:rPr>
        <w:t>0,000 in matching funds.</w:t>
      </w:r>
    </w:p>
    <w:p w14:paraId="5717C640" w14:textId="77777777" w:rsidR="00BC10B9" w:rsidRPr="001363DD" w:rsidRDefault="00BC10B9" w:rsidP="00AD541F">
      <w:pPr>
        <w:ind w:left="720"/>
        <w:rPr>
          <w:rFonts w:eastAsia="Arial"/>
          <w:sz w:val="22"/>
          <w:szCs w:val="22"/>
        </w:rPr>
      </w:pPr>
    </w:p>
    <w:p w14:paraId="089CB867" w14:textId="77777777" w:rsidR="00BC10B9" w:rsidRPr="00AD541F" w:rsidRDefault="00343567" w:rsidP="0006197B">
      <w:pPr>
        <w:pStyle w:val="ListParagraph"/>
        <w:numPr>
          <w:ilvl w:val="0"/>
          <w:numId w:val="25"/>
        </w:numPr>
        <w:pBdr>
          <w:top w:val="nil"/>
          <w:left w:val="nil"/>
          <w:bottom w:val="nil"/>
          <w:right w:val="nil"/>
          <w:between w:val="nil"/>
        </w:pBdr>
        <w:spacing w:before="120"/>
        <w:ind w:left="720"/>
        <w:outlineLvl w:val="1"/>
        <w:rPr>
          <w:rFonts w:eastAsia="Arial"/>
          <w:b/>
          <w:sz w:val="22"/>
          <w:szCs w:val="22"/>
        </w:rPr>
      </w:pPr>
      <w:bookmarkStart w:id="14" w:name="_tml04i62alw" w:colFirst="0" w:colLast="0"/>
      <w:bookmarkStart w:id="15" w:name="_Toc2677820"/>
      <w:bookmarkEnd w:id="14"/>
      <w:r w:rsidRPr="00AD541F">
        <w:rPr>
          <w:rFonts w:eastAsia="Arial"/>
          <w:b/>
          <w:sz w:val="22"/>
          <w:szCs w:val="22"/>
        </w:rPr>
        <w:t>Matching Funds</w:t>
      </w:r>
      <w:bookmarkEnd w:id="15"/>
      <w:r w:rsidRPr="00AD541F">
        <w:rPr>
          <w:rFonts w:eastAsia="Arial"/>
          <w:b/>
          <w:sz w:val="22"/>
          <w:szCs w:val="22"/>
        </w:rPr>
        <w:t xml:space="preserve"> </w:t>
      </w:r>
    </w:p>
    <w:p w14:paraId="5FBCBBD8" w14:textId="2E9CA620" w:rsidR="00BC10B9" w:rsidRPr="001363DD" w:rsidRDefault="00343567" w:rsidP="00AD541F">
      <w:pPr>
        <w:pBdr>
          <w:top w:val="nil"/>
          <w:left w:val="nil"/>
          <w:bottom w:val="nil"/>
          <w:right w:val="nil"/>
          <w:between w:val="nil"/>
        </w:pBdr>
        <w:ind w:left="720"/>
        <w:rPr>
          <w:rFonts w:eastAsia="Arial"/>
          <w:sz w:val="22"/>
          <w:szCs w:val="22"/>
        </w:rPr>
      </w:pPr>
      <w:r w:rsidRPr="001363DD">
        <w:rPr>
          <w:rFonts w:eastAsia="Arial"/>
          <w:sz w:val="22"/>
          <w:szCs w:val="22"/>
        </w:rPr>
        <w:t xml:space="preserve">According to the VOCA Rule, grant recipients </w:t>
      </w:r>
      <w:r w:rsidR="00A8140A">
        <w:rPr>
          <w:rFonts w:eastAsia="Arial"/>
          <w:sz w:val="22"/>
          <w:szCs w:val="22"/>
        </w:rPr>
        <w:t>“</w:t>
      </w:r>
      <w:r w:rsidRPr="001363DD">
        <w:rPr>
          <w:rFonts w:eastAsia="Arial"/>
          <w:sz w:val="22"/>
          <w:szCs w:val="22"/>
        </w:rPr>
        <w:t>shall contribute (i.e., match) not less than twenty percent (cash or in-kind) of the total cost of each project</w:t>
      </w:r>
      <w:r w:rsidR="00A8140A">
        <w:rPr>
          <w:rFonts w:eastAsia="Arial"/>
          <w:sz w:val="22"/>
          <w:szCs w:val="22"/>
        </w:rPr>
        <w:t>”</w:t>
      </w:r>
      <w:r w:rsidRPr="001363DD">
        <w:rPr>
          <w:rFonts w:eastAsia="Arial"/>
          <w:sz w:val="22"/>
          <w:szCs w:val="22"/>
        </w:rPr>
        <w:t xml:space="preserve"> (28 CFR </w:t>
      </w:r>
      <w:hyperlink r:id="rId18">
        <w:r w:rsidRPr="001363DD">
          <w:rPr>
            <w:rFonts w:eastAsia="Arial"/>
            <w:color w:val="1155CC"/>
            <w:sz w:val="22"/>
            <w:szCs w:val="22"/>
            <w:u w:val="single"/>
          </w:rPr>
          <w:t>94.118(a)</w:t>
        </w:r>
      </w:hyperlink>
      <w:r w:rsidRPr="001363DD">
        <w:rPr>
          <w:rFonts w:eastAsia="Arial"/>
          <w:sz w:val="22"/>
          <w:szCs w:val="22"/>
        </w:rPr>
        <w:t>).</w:t>
      </w:r>
    </w:p>
    <w:p w14:paraId="667F4594" w14:textId="77777777" w:rsidR="00BC10B9" w:rsidRPr="001363DD" w:rsidRDefault="00BC10B9" w:rsidP="00AD541F">
      <w:pPr>
        <w:pBdr>
          <w:top w:val="nil"/>
          <w:left w:val="nil"/>
          <w:bottom w:val="nil"/>
          <w:right w:val="nil"/>
          <w:between w:val="nil"/>
        </w:pBdr>
        <w:ind w:left="720"/>
        <w:rPr>
          <w:rFonts w:eastAsia="Arial"/>
          <w:sz w:val="22"/>
          <w:szCs w:val="22"/>
        </w:rPr>
      </w:pPr>
    </w:p>
    <w:p w14:paraId="2A04F36C" w14:textId="5CD2A0CA" w:rsidR="00BC10B9" w:rsidRPr="001363DD" w:rsidRDefault="00343567" w:rsidP="00AD541F">
      <w:pPr>
        <w:pBdr>
          <w:top w:val="nil"/>
          <w:left w:val="nil"/>
          <w:bottom w:val="nil"/>
          <w:right w:val="nil"/>
          <w:between w:val="nil"/>
        </w:pBdr>
        <w:ind w:left="720"/>
        <w:rPr>
          <w:rFonts w:eastAsia="Arial"/>
          <w:sz w:val="22"/>
          <w:szCs w:val="22"/>
        </w:rPr>
      </w:pPr>
      <w:r w:rsidRPr="001363DD">
        <w:rPr>
          <w:rFonts w:eastAsia="Arial"/>
          <w:sz w:val="22"/>
          <w:szCs w:val="22"/>
        </w:rPr>
        <w:t xml:space="preserve">Match may be in the form of cash or in-kind and will be reported on quarterly financial reports. Required match amounts must be fully met by the end of the grant period. The VOCA Rule states that match is </w:t>
      </w:r>
      <w:r w:rsidR="00A8140A">
        <w:rPr>
          <w:rFonts w:eastAsia="Arial"/>
          <w:sz w:val="22"/>
          <w:szCs w:val="22"/>
        </w:rPr>
        <w:t>“</w:t>
      </w:r>
      <w:r w:rsidRPr="001363DD">
        <w:rPr>
          <w:rFonts w:eastAsia="Arial"/>
          <w:sz w:val="22"/>
          <w:szCs w:val="22"/>
        </w:rPr>
        <w:t>restricted to the same uses, and timing deadlines for obligation and expenditure, as the project</w:t>
      </w:r>
      <w:r w:rsidR="00A8140A">
        <w:rPr>
          <w:rFonts w:eastAsia="Arial"/>
          <w:sz w:val="22"/>
          <w:szCs w:val="22"/>
        </w:rPr>
        <w:t>’</w:t>
      </w:r>
      <w:r w:rsidRPr="001363DD">
        <w:rPr>
          <w:rFonts w:eastAsia="Arial"/>
          <w:sz w:val="22"/>
          <w:szCs w:val="22"/>
        </w:rPr>
        <w:t>s VOCA funding</w:t>
      </w:r>
      <w:r w:rsidR="00A8140A">
        <w:rPr>
          <w:rFonts w:eastAsia="Arial"/>
          <w:sz w:val="22"/>
          <w:szCs w:val="22"/>
        </w:rPr>
        <w:t>”</w:t>
      </w:r>
      <w:r w:rsidRPr="001363DD">
        <w:rPr>
          <w:rFonts w:eastAsia="Arial"/>
          <w:sz w:val="22"/>
          <w:szCs w:val="22"/>
        </w:rPr>
        <w:t xml:space="preserve"> (28 CFR </w:t>
      </w:r>
      <w:hyperlink r:id="rId19">
        <w:r w:rsidRPr="001363DD">
          <w:rPr>
            <w:rFonts w:eastAsia="Arial"/>
            <w:color w:val="1155CC"/>
            <w:sz w:val="22"/>
            <w:szCs w:val="22"/>
            <w:u w:val="single"/>
          </w:rPr>
          <w:t>94.118(e)</w:t>
        </w:r>
      </w:hyperlink>
      <w:r w:rsidRPr="001363DD">
        <w:rPr>
          <w:rFonts w:eastAsia="Arial"/>
          <w:sz w:val="22"/>
          <w:szCs w:val="22"/>
        </w:rPr>
        <w:t>).</w:t>
      </w:r>
    </w:p>
    <w:p w14:paraId="1AFB2D3C" w14:textId="77777777" w:rsidR="00BC10B9" w:rsidRPr="001363DD" w:rsidRDefault="00BC10B9" w:rsidP="00AD541F">
      <w:pPr>
        <w:pBdr>
          <w:top w:val="nil"/>
          <w:left w:val="nil"/>
          <w:bottom w:val="nil"/>
          <w:right w:val="nil"/>
          <w:between w:val="nil"/>
        </w:pBdr>
        <w:ind w:left="720"/>
        <w:rPr>
          <w:rFonts w:eastAsia="Arial"/>
          <w:sz w:val="22"/>
          <w:szCs w:val="22"/>
        </w:rPr>
      </w:pPr>
    </w:p>
    <w:p w14:paraId="310316B6" w14:textId="7DD9B8C4" w:rsidR="00BC10B9" w:rsidRDefault="00343567" w:rsidP="0006197B">
      <w:pPr>
        <w:spacing w:after="60"/>
        <w:ind w:left="720"/>
        <w:rPr>
          <w:rFonts w:eastAsia="Arial"/>
          <w:sz w:val="22"/>
          <w:szCs w:val="22"/>
        </w:rPr>
      </w:pPr>
      <w:r w:rsidRPr="001363DD">
        <w:rPr>
          <w:rFonts w:eastAsia="Arial"/>
          <w:sz w:val="22"/>
          <w:szCs w:val="22"/>
        </w:rPr>
        <w:t>All match on awarded grants must be:</w:t>
      </w:r>
    </w:p>
    <w:p w14:paraId="5E8B1BA2" w14:textId="36932A19" w:rsidR="00BC10B9" w:rsidRDefault="00B348B3" w:rsidP="0006197B">
      <w:pPr>
        <w:numPr>
          <w:ilvl w:val="0"/>
          <w:numId w:val="19"/>
        </w:numPr>
        <w:spacing w:after="60"/>
        <w:ind w:left="1440"/>
        <w:rPr>
          <w:rFonts w:eastAsia="Arial"/>
          <w:sz w:val="22"/>
          <w:szCs w:val="22"/>
        </w:rPr>
      </w:pPr>
      <w:r>
        <w:rPr>
          <w:rFonts w:eastAsia="Arial"/>
          <w:sz w:val="22"/>
          <w:szCs w:val="22"/>
        </w:rPr>
        <w:t>V</w:t>
      </w:r>
      <w:r w:rsidR="00343567" w:rsidRPr="001363DD">
        <w:rPr>
          <w:rFonts w:eastAsia="Arial"/>
          <w:sz w:val="22"/>
          <w:szCs w:val="22"/>
        </w:rPr>
        <w:t>erifiable in program/agency records and provided for in the approved budget;</w:t>
      </w:r>
    </w:p>
    <w:p w14:paraId="19AFF5B0" w14:textId="2DAC95A0" w:rsidR="00BC10B9" w:rsidRDefault="00B348B3" w:rsidP="0006197B">
      <w:pPr>
        <w:numPr>
          <w:ilvl w:val="0"/>
          <w:numId w:val="19"/>
        </w:numPr>
        <w:spacing w:after="60"/>
        <w:ind w:left="1440"/>
        <w:rPr>
          <w:rFonts w:eastAsia="Arial"/>
          <w:sz w:val="22"/>
          <w:szCs w:val="22"/>
        </w:rPr>
      </w:pPr>
      <w:r>
        <w:rPr>
          <w:rFonts w:eastAsia="Arial"/>
          <w:sz w:val="22"/>
          <w:szCs w:val="22"/>
        </w:rPr>
        <w:t>D</w:t>
      </w:r>
      <w:r w:rsidR="00343567" w:rsidRPr="001363DD">
        <w:rPr>
          <w:rFonts w:eastAsia="Arial"/>
          <w:sz w:val="22"/>
          <w:szCs w:val="22"/>
        </w:rPr>
        <w:t>erived from non-federal funding sources;</w:t>
      </w:r>
    </w:p>
    <w:p w14:paraId="0E7120A1" w14:textId="4B026ED4" w:rsidR="00BC10B9" w:rsidRDefault="00B348B3" w:rsidP="0006197B">
      <w:pPr>
        <w:numPr>
          <w:ilvl w:val="0"/>
          <w:numId w:val="19"/>
        </w:numPr>
        <w:spacing w:after="60"/>
        <w:ind w:left="1440"/>
        <w:rPr>
          <w:rFonts w:eastAsia="Arial"/>
          <w:sz w:val="22"/>
          <w:szCs w:val="22"/>
        </w:rPr>
      </w:pPr>
      <w:r>
        <w:rPr>
          <w:rFonts w:eastAsia="Arial"/>
          <w:sz w:val="22"/>
          <w:szCs w:val="22"/>
        </w:rPr>
        <w:t>N</w:t>
      </w:r>
      <w:r w:rsidR="00343567" w:rsidRPr="001363DD">
        <w:rPr>
          <w:rFonts w:eastAsia="Arial"/>
          <w:sz w:val="22"/>
          <w:szCs w:val="22"/>
        </w:rPr>
        <w:t>ot used as match in other areas;</w:t>
      </w:r>
    </w:p>
    <w:p w14:paraId="24FD831A" w14:textId="67F741B2" w:rsidR="00BC10B9" w:rsidRDefault="00343567" w:rsidP="0006197B">
      <w:pPr>
        <w:numPr>
          <w:ilvl w:val="0"/>
          <w:numId w:val="19"/>
        </w:numPr>
        <w:spacing w:after="60"/>
        <w:ind w:left="1440"/>
        <w:rPr>
          <w:rFonts w:eastAsia="Arial"/>
          <w:sz w:val="22"/>
          <w:szCs w:val="22"/>
        </w:rPr>
      </w:pPr>
      <w:r w:rsidRPr="001363DD">
        <w:rPr>
          <w:rFonts w:eastAsia="Arial"/>
          <w:sz w:val="22"/>
          <w:szCs w:val="22"/>
        </w:rPr>
        <w:t>VOCA-allowable costs;</w:t>
      </w:r>
    </w:p>
    <w:p w14:paraId="2C9B4248" w14:textId="48221375" w:rsidR="00BC10B9" w:rsidRDefault="00B348B3" w:rsidP="0006197B">
      <w:pPr>
        <w:numPr>
          <w:ilvl w:val="0"/>
          <w:numId w:val="19"/>
        </w:numPr>
        <w:spacing w:after="60"/>
        <w:ind w:left="1440"/>
        <w:rPr>
          <w:rFonts w:eastAsia="Arial"/>
          <w:sz w:val="22"/>
          <w:szCs w:val="22"/>
        </w:rPr>
      </w:pPr>
      <w:r>
        <w:rPr>
          <w:rFonts w:eastAsia="Arial"/>
          <w:sz w:val="22"/>
          <w:szCs w:val="22"/>
        </w:rPr>
        <w:t>N</w:t>
      </w:r>
      <w:r w:rsidR="00343567" w:rsidRPr="001363DD">
        <w:rPr>
          <w:rFonts w:eastAsia="Arial"/>
          <w:sz w:val="22"/>
          <w:szCs w:val="22"/>
        </w:rPr>
        <w:t>ecessary and reasonable for efficient accomplishment of project objectives;</w:t>
      </w:r>
    </w:p>
    <w:p w14:paraId="5B4A82B8" w14:textId="455CA771" w:rsidR="00BC10B9" w:rsidRDefault="00B348B3" w:rsidP="0006197B">
      <w:pPr>
        <w:numPr>
          <w:ilvl w:val="0"/>
          <w:numId w:val="19"/>
        </w:numPr>
        <w:spacing w:after="60"/>
        <w:ind w:left="1440"/>
        <w:rPr>
          <w:rFonts w:eastAsia="Arial"/>
          <w:sz w:val="22"/>
          <w:szCs w:val="22"/>
        </w:rPr>
      </w:pPr>
      <w:r>
        <w:rPr>
          <w:rFonts w:eastAsia="Arial"/>
          <w:sz w:val="22"/>
          <w:szCs w:val="22"/>
        </w:rPr>
        <w:t>I</w:t>
      </w:r>
      <w:r w:rsidR="00343567" w:rsidRPr="001363DD">
        <w:rPr>
          <w:rFonts w:eastAsia="Arial"/>
          <w:sz w:val="22"/>
          <w:szCs w:val="22"/>
        </w:rPr>
        <w:t>n compliance with all federal and state guidelines; and</w:t>
      </w:r>
    </w:p>
    <w:p w14:paraId="5485C062" w14:textId="51D8B8B5" w:rsidR="00BC10B9" w:rsidRPr="001363DD" w:rsidRDefault="00B348B3" w:rsidP="00571DE4">
      <w:pPr>
        <w:numPr>
          <w:ilvl w:val="0"/>
          <w:numId w:val="19"/>
        </w:numPr>
        <w:ind w:left="1440"/>
        <w:rPr>
          <w:rFonts w:eastAsia="Arial"/>
          <w:sz w:val="22"/>
          <w:szCs w:val="22"/>
        </w:rPr>
      </w:pPr>
      <w:r>
        <w:rPr>
          <w:rFonts w:eastAsia="Arial"/>
          <w:sz w:val="22"/>
          <w:szCs w:val="22"/>
        </w:rPr>
        <w:t>O</w:t>
      </w:r>
      <w:r w:rsidR="00343567" w:rsidRPr="001363DD">
        <w:rPr>
          <w:rFonts w:eastAsia="Arial"/>
          <w:sz w:val="22"/>
          <w:szCs w:val="22"/>
        </w:rPr>
        <w:t>f an appropriate percentage.</w:t>
      </w:r>
    </w:p>
    <w:p w14:paraId="2A324CE4" w14:textId="77777777" w:rsidR="00BC10B9" w:rsidRPr="001363DD" w:rsidRDefault="00BC10B9" w:rsidP="00AD541F">
      <w:pPr>
        <w:ind w:left="720"/>
        <w:rPr>
          <w:rFonts w:eastAsia="Arial"/>
          <w:sz w:val="22"/>
          <w:szCs w:val="22"/>
        </w:rPr>
      </w:pPr>
    </w:p>
    <w:p w14:paraId="66BC7FC6" w14:textId="77777777" w:rsidR="00BC10B9" w:rsidRPr="001363DD" w:rsidRDefault="00343567" w:rsidP="0006197B">
      <w:pPr>
        <w:spacing w:after="120"/>
        <w:ind w:left="720"/>
        <w:rPr>
          <w:rFonts w:eastAsia="Arial"/>
          <w:b/>
          <w:sz w:val="22"/>
          <w:szCs w:val="22"/>
        </w:rPr>
      </w:pPr>
      <w:bookmarkStart w:id="16" w:name="_2s8eyo1" w:colFirst="0" w:colLast="0"/>
      <w:bookmarkEnd w:id="16"/>
      <w:r w:rsidRPr="001363DD">
        <w:rPr>
          <w:rFonts w:eastAsia="Arial"/>
          <w:b/>
          <w:sz w:val="22"/>
          <w:szCs w:val="22"/>
        </w:rPr>
        <w:t>Cash Match</w:t>
      </w:r>
    </w:p>
    <w:p w14:paraId="687EAA91" w14:textId="2F52C067" w:rsidR="00BC10B9" w:rsidRPr="001363DD" w:rsidRDefault="00343567" w:rsidP="00AD541F">
      <w:pPr>
        <w:pBdr>
          <w:top w:val="nil"/>
          <w:left w:val="nil"/>
          <w:bottom w:val="nil"/>
          <w:right w:val="nil"/>
          <w:between w:val="nil"/>
        </w:pBdr>
        <w:ind w:left="720"/>
        <w:rPr>
          <w:rFonts w:eastAsia="Arial"/>
          <w:sz w:val="22"/>
          <w:szCs w:val="22"/>
        </w:rPr>
      </w:pPr>
      <w:r w:rsidRPr="001363DD">
        <w:rPr>
          <w:rFonts w:eastAsia="Arial"/>
          <w:sz w:val="22"/>
          <w:szCs w:val="22"/>
        </w:rPr>
        <w:t xml:space="preserve">The VOCA Rule defines cash as </w:t>
      </w:r>
      <w:r w:rsidR="00A8140A">
        <w:rPr>
          <w:rFonts w:eastAsia="Arial"/>
          <w:sz w:val="22"/>
          <w:szCs w:val="22"/>
        </w:rPr>
        <w:t>“</w:t>
      </w:r>
      <w:r w:rsidRPr="001363DD">
        <w:rPr>
          <w:rFonts w:eastAsia="Arial"/>
          <w:sz w:val="22"/>
          <w:szCs w:val="22"/>
        </w:rPr>
        <w:t>the value of direct funding for the project</w:t>
      </w:r>
      <w:r w:rsidR="00A8140A">
        <w:rPr>
          <w:rFonts w:eastAsia="Arial"/>
          <w:sz w:val="22"/>
          <w:szCs w:val="22"/>
        </w:rPr>
        <w:t>”</w:t>
      </w:r>
      <w:r w:rsidRPr="001363DD">
        <w:rPr>
          <w:rFonts w:eastAsia="Arial"/>
          <w:sz w:val="22"/>
          <w:szCs w:val="22"/>
        </w:rPr>
        <w:t xml:space="preserve"> (28 CFR </w:t>
      </w:r>
      <w:hyperlink r:id="rId20">
        <w:r w:rsidRPr="001363DD">
          <w:rPr>
            <w:rFonts w:eastAsia="Arial"/>
            <w:color w:val="1155CC"/>
            <w:sz w:val="22"/>
            <w:szCs w:val="22"/>
            <w:u w:val="single"/>
          </w:rPr>
          <w:t>94.118(c)(1)</w:t>
        </w:r>
      </w:hyperlink>
      <w:r w:rsidRPr="001363DD">
        <w:rPr>
          <w:rFonts w:eastAsia="Arial"/>
          <w:sz w:val="22"/>
          <w:szCs w:val="22"/>
        </w:rPr>
        <w:t>). Cash used as match may be obtained from other state (non-DCJS), local, program income, or private sources. Cash cannot be derived from federal sources. Once funds are committed to match for this project, they cannot be used for match in other areas.</w:t>
      </w:r>
    </w:p>
    <w:p w14:paraId="5E625C22" w14:textId="77777777" w:rsidR="00BC10B9" w:rsidRPr="001363DD" w:rsidRDefault="00BC10B9" w:rsidP="00AD541F">
      <w:pPr>
        <w:ind w:left="720"/>
        <w:rPr>
          <w:rFonts w:eastAsia="Arial"/>
          <w:sz w:val="22"/>
          <w:szCs w:val="22"/>
        </w:rPr>
      </w:pPr>
    </w:p>
    <w:p w14:paraId="7E756DEC" w14:textId="77777777" w:rsidR="00BC10B9" w:rsidRPr="001363DD" w:rsidRDefault="00343567" w:rsidP="0006197B">
      <w:pPr>
        <w:spacing w:after="120"/>
        <w:ind w:left="720"/>
        <w:rPr>
          <w:rFonts w:eastAsia="Arial"/>
          <w:b/>
          <w:sz w:val="22"/>
          <w:szCs w:val="22"/>
        </w:rPr>
      </w:pPr>
      <w:bookmarkStart w:id="17" w:name="_17dp8vu" w:colFirst="0" w:colLast="0"/>
      <w:bookmarkEnd w:id="17"/>
      <w:r w:rsidRPr="001363DD">
        <w:rPr>
          <w:rFonts w:eastAsia="Arial"/>
          <w:b/>
          <w:sz w:val="22"/>
          <w:szCs w:val="22"/>
        </w:rPr>
        <w:t>In-Kind Match</w:t>
      </w:r>
    </w:p>
    <w:p w14:paraId="7A06F450" w14:textId="77777777" w:rsidR="00BC10B9" w:rsidRPr="001363DD" w:rsidRDefault="00343567" w:rsidP="0006197B">
      <w:pPr>
        <w:pBdr>
          <w:top w:val="nil"/>
          <w:left w:val="nil"/>
          <w:bottom w:val="nil"/>
          <w:right w:val="nil"/>
          <w:between w:val="nil"/>
        </w:pBdr>
        <w:spacing w:after="60"/>
        <w:ind w:left="720"/>
        <w:rPr>
          <w:rFonts w:eastAsia="Arial"/>
          <w:sz w:val="22"/>
          <w:szCs w:val="22"/>
        </w:rPr>
      </w:pPr>
      <w:r w:rsidRPr="001363DD">
        <w:rPr>
          <w:rFonts w:eastAsia="Arial"/>
          <w:sz w:val="22"/>
          <w:szCs w:val="22"/>
        </w:rPr>
        <w:t xml:space="preserve">According to the </w:t>
      </w:r>
      <w:r w:rsidRPr="001363DD">
        <w:rPr>
          <w:rFonts w:eastAsia="Arial"/>
          <w:i/>
          <w:sz w:val="22"/>
          <w:szCs w:val="22"/>
        </w:rPr>
        <w:t>VOCA Victim Assistance Program Rule, Questions and Answers</w:t>
      </w:r>
      <w:r w:rsidRPr="001363DD">
        <w:rPr>
          <w:rFonts w:eastAsia="Arial"/>
          <w:sz w:val="22"/>
          <w:szCs w:val="22"/>
        </w:rPr>
        <w:t xml:space="preserve"> document, sources of in-kind match may include, but are not limited to, the following:</w:t>
      </w:r>
    </w:p>
    <w:p w14:paraId="47FFC4C4" w14:textId="6F471B7A" w:rsidR="00E12590" w:rsidRPr="0006197B" w:rsidRDefault="00343567" w:rsidP="0006197B">
      <w:pPr>
        <w:pStyle w:val="ListParagraph"/>
        <w:numPr>
          <w:ilvl w:val="0"/>
          <w:numId w:val="44"/>
        </w:numPr>
        <w:pBdr>
          <w:top w:val="nil"/>
          <w:left w:val="nil"/>
          <w:bottom w:val="nil"/>
          <w:right w:val="nil"/>
          <w:between w:val="nil"/>
        </w:pBdr>
        <w:spacing w:after="60"/>
        <w:ind w:left="1440"/>
        <w:contextualSpacing w:val="0"/>
        <w:rPr>
          <w:rFonts w:eastAsia="Arial"/>
          <w:sz w:val="22"/>
          <w:szCs w:val="22"/>
        </w:rPr>
      </w:pPr>
      <w:r w:rsidRPr="0006197B">
        <w:rPr>
          <w:rFonts w:eastAsia="Arial"/>
          <w:sz w:val="22"/>
          <w:szCs w:val="22"/>
        </w:rPr>
        <w:t xml:space="preserve">Volunteered professional or personal services, the value placed on which shall be consistent with the rate of compensation (which may include fringe benefits) paid for similar work in the program; however, if the similar work is not performed in the </w:t>
      </w:r>
      <w:r w:rsidRPr="0006197B">
        <w:rPr>
          <w:rFonts w:eastAsia="Arial"/>
          <w:sz w:val="22"/>
          <w:szCs w:val="22"/>
        </w:rPr>
        <w:lastRenderedPageBreak/>
        <w:t>program, the rate of compensation shall be consistent with the rate found in the labor market in which the program competes.</w:t>
      </w:r>
    </w:p>
    <w:p w14:paraId="7D9F7722" w14:textId="05BC4880" w:rsidR="00BC10B9" w:rsidRDefault="00343567" w:rsidP="0006197B">
      <w:pPr>
        <w:numPr>
          <w:ilvl w:val="0"/>
          <w:numId w:val="44"/>
        </w:numPr>
        <w:pBdr>
          <w:top w:val="nil"/>
          <w:left w:val="nil"/>
          <w:bottom w:val="nil"/>
          <w:right w:val="nil"/>
          <w:between w:val="nil"/>
        </w:pBdr>
        <w:spacing w:after="60"/>
        <w:ind w:left="1440"/>
        <w:rPr>
          <w:rFonts w:eastAsia="Arial"/>
          <w:sz w:val="22"/>
          <w:szCs w:val="22"/>
        </w:rPr>
      </w:pPr>
      <w:r w:rsidRPr="003020BD">
        <w:rPr>
          <w:rFonts w:eastAsia="Arial"/>
          <w:sz w:val="22"/>
          <w:szCs w:val="22"/>
        </w:rPr>
        <w:t>Materials/equipment, but the value placed on lent or donated equipment shall not exceed its fair market value.</w:t>
      </w:r>
    </w:p>
    <w:p w14:paraId="69AA507B" w14:textId="7DBC7A37" w:rsidR="00BC10B9" w:rsidRDefault="00343567" w:rsidP="0006197B">
      <w:pPr>
        <w:numPr>
          <w:ilvl w:val="0"/>
          <w:numId w:val="44"/>
        </w:numPr>
        <w:pBdr>
          <w:top w:val="nil"/>
          <w:left w:val="nil"/>
          <w:bottom w:val="nil"/>
          <w:right w:val="nil"/>
          <w:between w:val="nil"/>
        </w:pBdr>
        <w:spacing w:after="60"/>
        <w:ind w:left="1440"/>
        <w:rPr>
          <w:rFonts w:eastAsia="Arial"/>
          <w:sz w:val="22"/>
          <w:szCs w:val="22"/>
        </w:rPr>
      </w:pPr>
      <w:r w:rsidRPr="003020BD">
        <w:rPr>
          <w:rFonts w:eastAsia="Arial"/>
          <w:sz w:val="22"/>
          <w:szCs w:val="22"/>
        </w:rPr>
        <w:t>Space and facilities, the value placed on which shall not exceed the fair rental value of comparable space and facilities as established by an independent appraisal of comparable space and facilities in a privately owned building in the same locality.</w:t>
      </w:r>
    </w:p>
    <w:p w14:paraId="45DE65B6" w14:textId="6C4FBFE3" w:rsidR="00BC10B9" w:rsidRDefault="00343567" w:rsidP="0006197B">
      <w:pPr>
        <w:numPr>
          <w:ilvl w:val="0"/>
          <w:numId w:val="44"/>
        </w:numPr>
        <w:pBdr>
          <w:top w:val="nil"/>
          <w:left w:val="nil"/>
          <w:bottom w:val="nil"/>
          <w:right w:val="nil"/>
          <w:between w:val="nil"/>
        </w:pBdr>
        <w:spacing w:after="60"/>
        <w:ind w:left="1440"/>
        <w:rPr>
          <w:rFonts w:eastAsia="Arial"/>
          <w:sz w:val="22"/>
          <w:szCs w:val="22"/>
        </w:rPr>
      </w:pPr>
      <w:r w:rsidRPr="003020BD">
        <w:rPr>
          <w:rFonts w:eastAsia="Arial"/>
          <w:sz w:val="22"/>
          <w:szCs w:val="22"/>
        </w:rPr>
        <w:t>Non-VOCA-funded victim assistance activities, including, but not limited to, performing direct services, coordinating or supervising those services, training victim assistance providers, and advocating for victims.</w:t>
      </w:r>
    </w:p>
    <w:p w14:paraId="7FF0C796" w14:textId="2288977E" w:rsidR="00BC10B9" w:rsidRPr="003020BD" w:rsidRDefault="00343567" w:rsidP="0006197B">
      <w:pPr>
        <w:numPr>
          <w:ilvl w:val="0"/>
          <w:numId w:val="44"/>
        </w:numPr>
        <w:pBdr>
          <w:top w:val="nil"/>
          <w:left w:val="nil"/>
          <w:bottom w:val="nil"/>
          <w:right w:val="nil"/>
          <w:between w:val="nil"/>
        </w:pBdr>
        <w:ind w:left="1440"/>
        <w:rPr>
          <w:rFonts w:eastAsia="Arial"/>
          <w:sz w:val="22"/>
          <w:szCs w:val="22"/>
        </w:rPr>
      </w:pPr>
      <w:r w:rsidRPr="003020BD">
        <w:rPr>
          <w:rFonts w:eastAsia="Arial"/>
          <w:sz w:val="22"/>
          <w:szCs w:val="22"/>
        </w:rPr>
        <w:t>Any reduction or discount provided to the subrecipient shall be valued as the difference between what the subrecipient paid and what the provider</w:t>
      </w:r>
      <w:r w:rsidR="00A8140A">
        <w:rPr>
          <w:rFonts w:eastAsia="Arial"/>
          <w:sz w:val="22"/>
          <w:szCs w:val="22"/>
        </w:rPr>
        <w:t>’</w:t>
      </w:r>
      <w:r w:rsidRPr="003020BD">
        <w:rPr>
          <w:rFonts w:eastAsia="Arial"/>
          <w:sz w:val="22"/>
          <w:szCs w:val="22"/>
        </w:rPr>
        <w:t>s nominal or fair market value is for the good(s) or service(s).</w:t>
      </w:r>
    </w:p>
    <w:p w14:paraId="5325C8D7" w14:textId="77777777" w:rsidR="00BC10B9" w:rsidRPr="001363DD" w:rsidRDefault="00BC10B9" w:rsidP="00AD541F">
      <w:pPr>
        <w:pBdr>
          <w:top w:val="nil"/>
          <w:left w:val="nil"/>
          <w:bottom w:val="nil"/>
          <w:right w:val="nil"/>
          <w:between w:val="nil"/>
        </w:pBdr>
        <w:ind w:left="720"/>
        <w:rPr>
          <w:rFonts w:eastAsia="Arial"/>
          <w:sz w:val="22"/>
          <w:szCs w:val="22"/>
        </w:rPr>
      </w:pPr>
    </w:p>
    <w:p w14:paraId="6B96C9FA" w14:textId="77777777" w:rsidR="00BC10B9" w:rsidRPr="001363DD" w:rsidRDefault="00343567" w:rsidP="00AD541F">
      <w:pPr>
        <w:pBdr>
          <w:top w:val="nil"/>
          <w:left w:val="nil"/>
          <w:bottom w:val="nil"/>
          <w:right w:val="nil"/>
          <w:between w:val="nil"/>
        </w:pBdr>
        <w:ind w:left="720"/>
        <w:rPr>
          <w:rFonts w:eastAsia="Arial"/>
          <w:sz w:val="22"/>
          <w:szCs w:val="22"/>
        </w:rPr>
      </w:pPr>
      <w:r w:rsidRPr="001363DD">
        <w:rPr>
          <w:rFonts w:eastAsia="Arial"/>
          <w:sz w:val="22"/>
          <w:szCs w:val="22"/>
        </w:rPr>
        <w:t>Grant recipients must maintain records that clearly show the source, the amount, and the period during which the match was allocated. In-kind contributions are determined at their fair market value. The basis for determining the value of personal services, materials, and equipment must be documented and to the extent feasible, supported by the same methods used by the grantee for its own paid employees.</w:t>
      </w:r>
    </w:p>
    <w:p w14:paraId="12CF6EEA" w14:textId="77777777" w:rsidR="00BC10B9" w:rsidRPr="001363DD" w:rsidRDefault="00BC10B9" w:rsidP="00AD541F">
      <w:pPr>
        <w:pBdr>
          <w:top w:val="nil"/>
          <w:left w:val="nil"/>
          <w:bottom w:val="nil"/>
          <w:right w:val="nil"/>
          <w:between w:val="nil"/>
        </w:pBdr>
        <w:ind w:left="720"/>
        <w:rPr>
          <w:rFonts w:eastAsia="Arial"/>
          <w:sz w:val="22"/>
          <w:szCs w:val="22"/>
        </w:rPr>
      </w:pPr>
    </w:p>
    <w:p w14:paraId="3ADEBA7C" w14:textId="726BA1ED" w:rsidR="00BC10B9" w:rsidRPr="001363DD" w:rsidRDefault="00343567" w:rsidP="00AD541F">
      <w:pPr>
        <w:pBdr>
          <w:top w:val="nil"/>
          <w:left w:val="nil"/>
          <w:bottom w:val="nil"/>
          <w:right w:val="nil"/>
          <w:between w:val="nil"/>
        </w:pBdr>
        <w:ind w:left="720"/>
        <w:rPr>
          <w:rFonts w:eastAsia="Arial"/>
          <w:sz w:val="22"/>
          <w:szCs w:val="22"/>
        </w:rPr>
      </w:pPr>
      <w:r w:rsidRPr="001363DD">
        <w:rPr>
          <w:rFonts w:eastAsia="Arial"/>
          <w:sz w:val="22"/>
          <w:szCs w:val="22"/>
        </w:rPr>
        <w:t xml:space="preserve">Volunteer services used as in-kind match are allowable and recommended. Volunteer services may be professional or technical services, consultants, or skilled/unskilled labor assisting on the project. Records must be maintained documenting all volunteer services used as in-kind match. For additional guidance on the value of volunteer time, go to </w:t>
      </w:r>
      <w:hyperlink r:id="rId21">
        <w:r w:rsidR="007F2BDF">
          <w:rPr>
            <w:rFonts w:eastAsia="Arial"/>
            <w:color w:val="0000FF"/>
            <w:sz w:val="22"/>
            <w:szCs w:val="22"/>
            <w:u w:val="single"/>
          </w:rPr>
          <w:t>www.independentsector.org/volunteer_time</w:t>
        </w:r>
      </w:hyperlink>
      <w:r w:rsidRPr="001363DD">
        <w:rPr>
          <w:rFonts w:eastAsia="Arial"/>
          <w:sz w:val="22"/>
          <w:szCs w:val="22"/>
        </w:rPr>
        <w:t>.</w:t>
      </w:r>
    </w:p>
    <w:p w14:paraId="0DA4F8B9" w14:textId="77777777" w:rsidR="00BC10B9" w:rsidRPr="001363DD" w:rsidRDefault="00BC10B9" w:rsidP="00AD541F">
      <w:pPr>
        <w:ind w:left="720"/>
        <w:rPr>
          <w:rFonts w:eastAsia="Arial"/>
          <w:sz w:val="22"/>
          <w:szCs w:val="22"/>
        </w:rPr>
      </w:pPr>
    </w:p>
    <w:p w14:paraId="0CE6843D" w14:textId="77777777" w:rsidR="00BC10B9" w:rsidRPr="001363DD" w:rsidRDefault="00343567" w:rsidP="00AD541F">
      <w:pPr>
        <w:pBdr>
          <w:top w:val="nil"/>
          <w:left w:val="nil"/>
          <w:bottom w:val="nil"/>
          <w:right w:val="nil"/>
          <w:between w:val="nil"/>
        </w:pBdr>
        <w:ind w:left="720"/>
        <w:rPr>
          <w:rFonts w:eastAsia="Arial"/>
          <w:sz w:val="22"/>
          <w:szCs w:val="22"/>
        </w:rPr>
      </w:pPr>
      <w:r w:rsidRPr="001363DD">
        <w:rPr>
          <w:rFonts w:eastAsia="Arial"/>
          <w:sz w:val="22"/>
          <w:szCs w:val="22"/>
        </w:rPr>
        <w:t>Non-compliance with documenting in-kind match amounts may result in a requirement to provide cash match, in a reduction to the grant award, and/or other grant conditions.</w:t>
      </w:r>
    </w:p>
    <w:p w14:paraId="026BC007" w14:textId="77777777" w:rsidR="00BC10B9" w:rsidRPr="001363DD" w:rsidRDefault="00BC10B9" w:rsidP="00AD541F">
      <w:pPr>
        <w:ind w:left="720"/>
        <w:rPr>
          <w:rFonts w:eastAsia="Arial"/>
          <w:sz w:val="22"/>
          <w:szCs w:val="22"/>
        </w:rPr>
      </w:pPr>
    </w:p>
    <w:p w14:paraId="7AB271EE" w14:textId="77777777" w:rsidR="00BC10B9" w:rsidRPr="00AD541F" w:rsidRDefault="00AD541F" w:rsidP="00AD541F">
      <w:pPr>
        <w:ind w:left="720"/>
        <w:rPr>
          <w:rFonts w:eastAsia="Arial"/>
          <w:b/>
          <w:sz w:val="22"/>
          <w:szCs w:val="22"/>
        </w:rPr>
      </w:pPr>
      <w:r w:rsidRPr="00AD541F">
        <w:rPr>
          <w:rFonts w:eastAsia="Arial"/>
          <w:b/>
          <w:sz w:val="22"/>
          <w:szCs w:val="22"/>
        </w:rPr>
        <w:t>Match Waiver Option</w:t>
      </w:r>
    </w:p>
    <w:p w14:paraId="2AC9A9CE" w14:textId="5D37ABC9" w:rsidR="000F3A0F" w:rsidRDefault="000F3A0F" w:rsidP="000F3A0F">
      <w:pPr>
        <w:pBdr>
          <w:top w:val="nil"/>
          <w:left w:val="nil"/>
          <w:bottom w:val="nil"/>
          <w:right w:val="nil"/>
          <w:between w:val="nil"/>
        </w:pBdr>
        <w:ind w:left="720"/>
        <w:rPr>
          <w:rFonts w:eastAsia="Arial"/>
          <w:sz w:val="22"/>
          <w:szCs w:val="22"/>
        </w:rPr>
      </w:pPr>
      <w:r w:rsidRPr="000F3A0F">
        <w:rPr>
          <w:rFonts w:eastAsia="Arial"/>
          <w:sz w:val="22"/>
          <w:szCs w:val="22"/>
        </w:rPr>
        <w:t>Applicants may request a waiver for a portion of the match or for the entire match. To request a partial or full match waiver</w:t>
      </w:r>
      <w:r>
        <w:rPr>
          <w:rFonts w:eastAsia="Arial"/>
          <w:sz w:val="22"/>
          <w:szCs w:val="22"/>
        </w:rPr>
        <w:t>, detail, on agency letterhead:</w:t>
      </w:r>
    </w:p>
    <w:p w14:paraId="15841570" w14:textId="4579C6D1" w:rsidR="00520990" w:rsidRDefault="000F3A0F" w:rsidP="007F2BDF">
      <w:pPr>
        <w:pStyle w:val="ListParagraph"/>
        <w:numPr>
          <w:ilvl w:val="2"/>
          <w:numId w:val="25"/>
        </w:numPr>
        <w:pBdr>
          <w:top w:val="nil"/>
          <w:left w:val="nil"/>
          <w:bottom w:val="nil"/>
          <w:right w:val="nil"/>
          <w:between w:val="nil"/>
        </w:pBdr>
        <w:ind w:left="1440" w:hanging="360"/>
        <w:rPr>
          <w:rFonts w:eastAsia="Arial"/>
          <w:sz w:val="22"/>
          <w:szCs w:val="22"/>
        </w:rPr>
      </w:pPr>
      <w:r w:rsidRPr="000F3A0F">
        <w:rPr>
          <w:rFonts w:eastAsia="Arial"/>
          <w:sz w:val="22"/>
          <w:szCs w:val="22"/>
        </w:rPr>
        <w:t>The amount of match you anticipate providing (not the amount of waiver needed);</w:t>
      </w:r>
    </w:p>
    <w:p w14:paraId="073715C0" w14:textId="77D29EA6" w:rsidR="00520990" w:rsidRPr="00520990" w:rsidRDefault="00520990" w:rsidP="007F2BDF">
      <w:pPr>
        <w:pStyle w:val="ListParagraph"/>
        <w:pBdr>
          <w:top w:val="nil"/>
          <w:left w:val="nil"/>
          <w:bottom w:val="nil"/>
          <w:right w:val="nil"/>
          <w:between w:val="nil"/>
        </w:pBdr>
        <w:ind w:left="1440" w:hanging="360"/>
        <w:rPr>
          <w:rFonts w:eastAsia="Arial"/>
          <w:i/>
          <w:sz w:val="22"/>
          <w:szCs w:val="22"/>
        </w:rPr>
      </w:pPr>
      <w:r>
        <w:rPr>
          <w:rFonts w:eastAsia="Arial"/>
          <w:sz w:val="22"/>
          <w:szCs w:val="22"/>
        </w:rPr>
        <w:t xml:space="preserve"> </w:t>
      </w:r>
      <w:r w:rsidR="007F2BDF">
        <w:rPr>
          <w:rFonts w:eastAsia="Arial"/>
          <w:sz w:val="22"/>
          <w:szCs w:val="22"/>
        </w:rPr>
        <w:tab/>
      </w:r>
      <w:r w:rsidRPr="00520990">
        <w:rPr>
          <w:rFonts w:eastAsia="Arial"/>
          <w:i/>
          <w:sz w:val="22"/>
          <w:szCs w:val="22"/>
        </w:rPr>
        <w:t>AND</w:t>
      </w:r>
    </w:p>
    <w:p w14:paraId="674A12BB" w14:textId="6048FF14" w:rsidR="000F3A0F" w:rsidRPr="00520990" w:rsidRDefault="000F3A0F" w:rsidP="007F2BDF">
      <w:pPr>
        <w:pStyle w:val="ListParagraph"/>
        <w:numPr>
          <w:ilvl w:val="2"/>
          <w:numId w:val="25"/>
        </w:numPr>
        <w:pBdr>
          <w:top w:val="nil"/>
          <w:left w:val="nil"/>
          <w:bottom w:val="nil"/>
          <w:right w:val="nil"/>
          <w:between w:val="nil"/>
        </w:pBdr>
        <w:ind w:left="1440" w:hanging="360"/>
        <w:rPr>
          <w:rFonts w:eastAsia="Arial"/>
          <w:sz w:val="22"/>
          <w:szCs w:val="22"/>
        </w:rPr>
      </w:pPr>
      <w:r w:rsidRPr="00520990">
        <w:rPr>
          <w:rFonts w:eastAsia="Arial"/>
          <w:sz w:val="22"/>
          <w:szCs w:val="22"/>
        </w:rPr>
        <w:t>The compelling need(s) your agency has for a waiver.</w:t>
      </w:r>
    </w:p>
    <w:p w14:paraId="1FBD81AD" w14:textId="77777777" w:rsidR="00520990" w:rsidRDefault="00520990" w:rsidP="000F3A0F">
      <w:pPr>
        <w:pBdr>
          <w:top w:val="nil"/>
          <w:left w:val="nil"/>
          <w:bottom w:val="nil"/>
          <w:right w:val="nil"/>
          <w:between w:val="nil"/>
        </w:pBdr>
        <w:ind w:left="720"/>
        <w:rPr>
          <w:rFonts w:eastAsia="Arial"/>
          <w:sz w:val="22"/>
          <w:szCs w:val="22"/>
        </w:rPr>
      </w:pPr>
    </w:p>
    <w:p w14:paraId="44249959" w14:textId="6A0A43CB" w:rsidR="000F3A0F" w:rsidRPr="000F3A0F" w:rsidRDefault="00330BB1" w:rsidP="000F3A0F">
      <w:pPr>
        <w:pBdr>
          <w:top w:val="nil"/>
          <w:left w:val="nil"/>
          <w:bottom w:val="nil"/>
          <w:right w:val="nil"/>
          <w:between w:val="nil"/>
        </w:pBdr>
        <w:ind w:left="720"/>
        <w:rPr>
          <w:rFonts w:eastAsia="Arial"/>
          <w:sz w:val="22"/>
          <w:szCs w:val="22"/>
        </w:rPr>
      </w:pPr>
      <w:r>
        <w:rPr>
          <w:rFonts w:eastAsia="Arial"/>
          <w:sz w:val="22"/>
          <w:szCs w:val="22"/>
        </w:rPr>
        <w:t>Match waiver requests will be reviewed by DCJS to determine if they will be submitted to OVC. The final match waiver decision is made by OVC. The OVC approval process may take several months to complete, which may impact your project implementation.</w:t>
      </w:r>
      <w:r w:rsidR="000F3A0F" w:rsidRPr="000F3A0F">
        <w:rPr>
          <w:rFonts w:eastAsia="Arial"/>
          <w:sz w:val="22"/>
          <w:szCs w:val="22"/>
        </w:rPr>
        <w:t xml:space="preserve"> If a waiver request is denied by OVC, the awarded applicant will need to </w:t>
      </w:r>
      <w:r w:rsidR="00520990">
        <w:rPr>
          <w:rFonts w:eastAsia="Arial"/>
          <w:sz w:val="22"/>
          <w:szCs w:val="22"/>
        </w:rPr>
        <w:t>provide</w:t>
      </w:r>
      <w:r w:rsidR="000F3A0F" w:rsidRPr="000F3A0F">
        <w:rPr>
          <w:rFonts w:eastAsia="Arial"/>
          <w:sz w:val="22"/>
          <w:szCs w:val="22"/>
        </w:rPr>
        <w:t xml:space="preserve"> match or ne</w:t>
      </w:r>
      <w:r w:rsidR="00520990">
        <w:rPr>
          <w:rFonts w:eastAsia="Arial"/>
          <w:sz w:val="22"/>
          <w:szCs w:val="22"/>
        </w:rPr>
        <w:t>gotiate a reduced award amount.</w:t>
      </w:r>
    </w:p>
    <w:p w14:paraId="4B1BBA75" w14:textId="77777777" w:rsidR="00BC10B9" w:rsidRPr="001363DD" w:rsidRDefault="00BC10B9" w:rsidP="00EB415B">
      <w:pPr>
        <w:rPr>
          <w:rFonts w:eastAsia="Arial"/>
          <w:sz w:val="22"/>
          <w:szCs w:val="22"/>
          <w:highlight w:val="yellow"/>
        </w:rPr>
      </w:pPr>
    </w:p>
    <w:p w14:paraId="01CCED27" w14:textId="77777777" w:rsidR="00BC10B9" w:rsidRPr="00520990" w:rsidRDefault="00343567" w:rsidP="007F2BDF">
      <w:pPr>
        <w:pStyle w:val="ListParagraph"/>
        <w:numPr>
          <w:ilvl w:val="0"/>
          <w:numId w:val="25"/>
        </w:numPr>
        <w:pBdr>
          <w:top w:val="nil"/>
          <w:left w:val="nil"/>
          <w:bottom w:val="nil"/>
          <w:right w:val="nil"/>
          <w:between w:val="nil"/>
        </w:pBdr>
        <w:spacing w:before="120"/>
        <w:ind w:left="720"/>
        <w:outlineLvl w:val="1"/>
        <w:rPr>
          <w:rFonts w:eastAsia="Arial"/>
          <w:b/>
          <w:sz w:val="22"/>
          <w:szCs w:val="22"/>
        </w:rPr>
      </w:pPr>
      <w:bookmarkStart w:id="18" w:name="_3rdcrjn" w:colFirst="0" w:colLast="0"/>
      <w:bookmarkStart w:id="19" w:name="_Toc2677821"/>
      <w:bookmarkEnd w:id="18"/>
      <w:r w:rsidRPr="00520990">
        <w:rPr>
          <w:rFonts w:eastAsia="Arial"/>
          <w:b/>
          <w:sz w:val="22"/>
          <w:szCs w:val="22"/>
        </w:rPr>
        <w:t>Budgeting Flexibility</w:t>
      </w:r>
      <w:bookmarkEnd w:id="19"/>
    </w:p>
    <w:p w14:paraId="3B65A878" w14:textId="694253D4" w:rsidR="00BC10B9" w:rsidRPr="001363DD" w:rsidRDefault="00343567" w:rsidP="00520990">
      <w:pPr>
        <w:pBdr>
          <w:top w:val="nil"/>
          <w:left w:val="nil"/>
          <w:bottom w:val="nil"/>
          <w:right w:val="nil"/>
          <w:between w:val="nil"/>
        </w:pBdr>
        <w:ind w:left="720"/>
        <w:rPr>
          <w:rFonts w:eastAsia="Arial"/>
          <w:color w:val="000000"/>
          <w:sz w:val="22"/>
          <w:szCs w:val="22"/>
        </w:rPr>
      </w:pPr>
      <w:r w:rsidRPr="001363DD">
        <w:rPr>
          <w:rFonts w:eastAsia="Arial"/>
          <w:color w:val="000000"/>
          <w:sz w:val="22"/>
          <w:szCs w:val="22"/>
        </w:rPr>
        <w:t xml:space="preserve">DCJS wishes to provide grantees with maximum flexibility in designing their grant budgets and utilizing any available local funding. </w:t>
      </w:r>
      <w:r w:rsidR="00330BB1">
        <w:rPr>
          <w:rFonts w:eastAsia="Arial"/>
          <w:color w:val="000000"/>
          <w:sz w:val="22"/>
          <w:szCs w:val="22"/>
        </w:rPr>
        <w:t>For new projects, applicants may allow for up to three months at the beginning of the grant cycle for planning, development, and hiring of project personnel.</w:t>
      </w:r>
    </w:p>
    <w:p w14:paraId="45FCC4DB" w14:textId="77777777" w:rsidR="00BC10B9" w:rsidRPr="001363DD" w:rsidRDefault="00BC10B9" w:rsidP="00520990">
      <w:pPr>
        <w:pBdr>
          <w:top w:val="nil"/>
          <w:left w:val="nil"/>
          <w:bottom w:val="nil"/>
          <w:right w:val="nil"/>
          <w:between w:val="nil"/>
        </w:pBdr>
        <w:ind w:left="720"/>
        <w:rPr>
          <w:rFonts w:eastAsia="Arial"/>
          <w:color w:val="000000"/>
          <w:sz w:val="22"/>
          <w:szCs w:val="22"/>
        </w:rPr>
      </w:pPr>
    </w:p>
    <w:p w14:paraId="0D18E76B" w14:textId="5DF51D04" w:rsidR="00BC10B9" w:rsidRPr="001363DD" w:rsidRDefault="00343567" w:rsidP="00520990">
      <w:pPr>
        <w:pBdr>
          <w:top w:val="nil"/>
          <w:left w:val="nil"/>
          <w:bottom w:val="nil"/>
          <w:right w:val="nil"/>
          <w:between w:val="nil"/>
        </w:pBdr>
        <w:ind w:left="720"/>
        <w:rPr>
          <w:rFonts w:eastAsia="Arial"/>
          <w:color w:val="000000"/>
          <w:sz w:val="22"/>
          <w:szCs w:val="22"/>
        </w:rPr>
      </w:pPr>
      <w:r w:rsidRPr="001363DD">
        <w:rPr>
          <w:rFonts w:eastAsia="Arial"/>
          <w:color w:val="000000"/>
          <w:sz w:val="22"/>
          <w:szCs w:val="22"/>
        </w:rPr>
        <w:t>In accordance with federal guidelines, only those costs directly related to and essential to providing direct services to crime victims can be supported with grant funds. Requests must be allowable under state and federal guidelines and must be reasonable, appropriate, and justified.</w:t>
      </w:r>
      <w:r w:rsidR="00A8140A">
        <w:rPr>
          <w:rFonts w:eastAsia="Arial"/>
          <w:color w:val="000000"/>
          <w:sz w:val="22"/>
          <w:szCs w:val="22"/>
        </w:rPr>
        <w:t xml:space="preserve"> </w:t>
      </w:r>
      <w:r w:rsidRPr="001363DD">
        <w:rPr>
          <w:rFonts w:eastAsia="Arial"/>
          <w:color w:val="000000"/>
          <w:sz w:val="22"/>
          <w:szCs w:val="22"/>
        </w:rPr>
        <w:lastRenderedPageBreak/>
        <w:t xml:space="preserve">Within these broad restrictions, grantees have discretion to determine how grant funds can most effectively be utilized. </w:t>
      </w:r>
    </w:p>
    <w:p w14:paraId="0F72AFE4" w14:textId="77777777" w:rsidR="00BC10B9" w:rsidRPr="001363DD" w:rsidRDefault="00BC10B9" w:rsidP="00520990">
      <w:pPr>
        <w:pBdr>
          <w:top w:val="nil"/>
          <w:left w:val="nil"/>
          <w:bottom w:val="nil"/>
          <w:right w:val="nil"/>
          <w:between w:val="nil"/>
        </w:pBdr>
        <w:ind w:left="720"/>
        <w:rPr>
          <w:rFonts w:eastAsia="Arial"/>
          <w:sz w:val="22"/>
          <w:szCs w:val="22"/>
        </w:rPr>
      </w:pPr>
    </w:p>
    <w:p w14:paraId="3DD28443" w14:textId="77777777" w:rsidR="00BC10B9" w:rsidRPr="001363DD" w:rsidRDefault="00343567" w:rsidP="007F2BDF">
      <w:pPr>
        <w:pBdr>
          <w:top w:val="nil"/>
          <w:left w:val="nil"/>
          <w:bottom w:val="nil"/>
          <w:right w:val="nil"/>
          <w:between w:val="nil"/>
        </w:pBdr>
        <w:ind w:left="720"/>
        <w:rPr>
          <w:rFonts w:eastAsia="Arial"/>
          <w:sz w:val="22"/>
          <w:szCs w:val="22"/>
        </w:rPr>
      </w:pPr>
      <w:r w:rsidRPr="001363DD">
        <w:rPr>
          <w:rFonts w:eastAsia="Arial"/>
          <w:sz w:val="22"/>
          <w:szCs w:val="22"/>
        </w:rPr>
        <w:t xml:space="preserve">Applicants should </w:t>
      </w:r>
      <w:r w:rsidRPr="001363DD">
        <w:rPr>
          <w:rFonts w:eastAsia="Arial"/>
          <w:b/>
          <w:sz w:val="22"/>
          <w:szCs w:val="22"/>
        </w:rPr>
        <w:t>carefully consider the resources needed to successfully implement the proposed project and present a realistic budget that accurately reflects project costs</w:t>
      </w:r>
      <w:r w:rsidRPr="001363DD">
        <w:rPr>
          <w:rFonts w:eastAsia="Arial"/>
          <w:sz w:val="22"/>
          <w:szCs w:val="22"/>
        </w:rPr>
        <w:t>. Applicants should also consider how the project will be sustained if funding through this grant program becomes unavailable.</w:t>
      </w:r>
    </w:p>
    <w:p w14:paraId="37AE3230" w14:textId="77777777" w:rsidR="004E1EAF" w:rsidRPr="001363DD" w:rsidRDefault="004E1EAF" w:rsidP="00EB415B">
      <w:pPr>
        <w:pBdr>
          <w:top w:val="nil"/>
          <w:left w:val="nil"/>
          <w:bottom w:val="nil"/>
          <w:right w:val="nil"/>
          <w:between w:val="nil"/>
        </w:pBdr>
        <w:rPr>
          <w:rFonts w:eastAsia="Arial"/>
          <w:b/>
          <w:sz w:val="22"/>
          <w:szCs w:val="22"/>
        </w:rPr>
      </w:pPr>
    </w:p>
    <w:p w14:paraId="5A776004" w14:textId="77777777" w:rsidR="00BC10B9" w:rsidRPr="00520990" w:rsidRDefault="00343567" w:rsidP="007F2BDF">
      <w:pPr>
        <w:pStyle w:val="ListParagraph"/>
        <w:numPr>
          <w:ilvl w:val="0"/>
          <w:numId w:val="25"/>
        </w:numPr>
        <w:pBdr>
          <w:top w:val="nil"/>
          <w:left w:val="nil"/>
          <w:bottom w:val="nil"/>
          <w:right w:val="nil"/>
          <w:between w:val="nil"/>
        </w:pBdr>
        <w:spacing w:before="120"/>
        <w:ind w:left="720"/>
        <w:outlineLvl w:val="1"/>
        <w:rPr>
          <w:rFonts w:eastAsia="Arial"/>
          <w:b/>
          <w:sz w:val="22"/>
          <w:szCs w:val="22"/>
        </w:rPr>
      </w:pPr>
      <w:bookmarkStart w:id="20" w:name="_26in1rg" w:colFirst="0" w:colLast="0"/>
      <w:bookmarkStart w:id="21" w:name="_Toc2677822"/>
      <w:bookmarkEnd w:id="20"/>
      <w:r w:rsidRPr="00520990">
        <w:rPr>
          <w:rFonts w:eastAsia="Arial"/>
          <w:b/>
          <w:sz w:val="22"/>
          <w:szCs w:val="22"/>
        </w:rPr>
        <w:t>Deadline</w:t>
      </w:r>
      <w:bookmarkEnd w:id="21"/>
    </w:p>
    <w:p w14:paraId="37317239" w14:textId="23DF48E0" w:rsidR="00BC10B9" w:rsidRPr="001363DD" w:rsidRDefault="00343567" w:rsidP="007F2BDF">
      <w:pPr>
        <w:spacing w:after="60"/>
        <w:ind w:left="720"/>
        <w:rPr>
          <w:rFonts w:eastAsia="Arial"/>
          <w:b/>
          <w:sz w:val="22"/>
          <w:szCs w:val="22"/>
        </w:rPr>
      </w:pPr>
      <w:r w:rsidRPr="001363DD">
        <w:rPr>
          <w:rFonts w:eastAsia="Arial"/>
          <w:b/>
          <w:sz w:val="22"/>
          <w:szCs w:val="22"/>
        </w:rPr>
        <w:t xml:space="preserve">Applications must be </w:t>
      </w:r>
      <w:r w:rsidRPr="001363DD">
        <w:rPr>
          <w:rFonts w:eastAsia="Arial"/>
          <w:b/>
          <w:color w:val="000000"/>
          <w:sz w:val="22"/>
          <w:szCs w:val="22"/>
        </w:rPr>
        <w:t xml:space="preserve">received by DCJS </w:t>
      </w:r>
      <w:r w:rsidRPr="001363DD">
        <w:rPr>
          <w:rFonts w:eastAsia="Arial"/>
          <w:b/>
          <w:sz w:val="22"/>
          <w:szCs w:val="22"/>
        </w:rPr>
        <w:t xml:space="preserve">by 5:00 p.m. on </w:t>
      </w:r>
      <w:r w:rsidR="006746BE">
        <w:rPr>
          <w:rFonts w:eastAsia="Arial"/>
          <w:b/>
          <w:sz w:val="22"/>
          <w:szCs w:val="22"/>
        </w:rPr>
        <w:t>Thursday</w:t>
      </w:r>
      <w:r w:rsidR="000468A1" w:rsidRPr="006746BE">
        <w:rPr>
          <w:rFonts w:eastAsia="Arial"/>
          <w:b/>
          <w:sz w:val="22"/>
          <w:szCs w:val="22"/>
        </w:rPr>
        <w:t xml:space="preserve">, April </w:t>
      </w:r>
      <w:r w:rsidR="006746BE">
        <w:rPr>
          <w:rFonts w:eastAsia="Arial"/>
          <w:b/>
          <w:sz w:val="22"/>
          <w:szCs w:val="22"/>
        </w:rPr>
        <w:t>4</w:t>
      </w:r>
      <w:r w:rsidRPr="006746BE">
        <w:rPr>
          <w:rFonts w:eastAsia="Arial"/>
          <w:b/>
          <w:sz w:val="22"/>
          <w:szCs w:val="22"/>
        </w:rPr>
        <w:t>, 2019</w:t>
      </w:r>
      <w:r w:rsidR="004126E1">
        <w:rPr>
          <w:rFonts w:eastAsia="Arial"/>
          <w:b/>
          <w:sz w:val="22"/>
          <w:szCs w:val="22"/>
        </w:rPr>
        <w:t>,</w:t>
      </w:r>
      <w:r w:rsidRPr="001363DD">
        <w:rPr>
          <w:rFonts w:eastAsia="Arial"/>
          <w:sz w:val="22"/>
          <w:szCs w:val="22"/>
        </w:rPr>
        <w:t xml:space="preserve"> and must be submitted electronically. Applicants should email all of the following documents</w:t>
      </w:r>
      <w:r w:rsidRPr="001363DD">
        <w:rPr>
          <w:rFonts w:eastAsia="Arial"/>
          <w:b/>
          <w:sz w:val="22"/>
          <w:szCs w:val="22"/>
        </w:rPr>
        <w:t xml:space="preserve"> </w:t>
      </w:r>
      <w:r w:rsidRPr="001363DD">
        <w:rPr>
          <w:rFonts w:eastAsia="Arial"/>
          <w:sz w:val="22"/>
          <w:szCs w:val="22"/>
        </w:rPr>
        <w:t>to</w:t>
      </w:r>
      <w:r w:rsidR="00B1246E" w:rsidRPr="001363DD">
        <w:rPr>
          <w:rFonts w:eastAsia="Arial"/>
          <w:b/>
          <w:sz w:val="22"/>
          <w:szCs w:val="22"/>
        </w:rPr>
        <w:t xml:space="preserve"> </w:t>
      </w:r>
      <w:hyperlink r:id="rId22" w:history="1">
        <w:r w:rsidR="00B1246E" w:rsidRPr="00520990">
          <w:rPr>
            <w:rStyle w:val="Hyperlink"/>
            <w:rFonts w:eastAsia="Arial"/>
            <w:b/>
            <w:sz w:val="22"/>
            <w:szCs w:val="22"/>
          </w:rPr>
          <w:t>voca@dcjs.virginia.gov</w:t>
        </w:r>
      </w:hyperlink>
      <w:r w:rsidR="004E1EAF">
        <w:rPr>
          <w:rFonts w:eastAsia="Arial"/>
          <w:b/>
          <w:sz w:val="22"/>
          <w:szCs w:val="22"/>
        </w:rPr>
        <w:t xml:space="preserve"> </w:t>
      </w:r>
      <w:r w:rsidR="00520990">
        <w:rPr>
          <w:rFonts w:eastAsia="Arial"/>
          <w:b/>
          <w:sz w:val="22"/>
          <w:szCs w:val="22"/>
        </w:rPr>
        <w:t>:</w:t>
      </w:r>
    </w:p>
    <w:p w14:paraId="04A19830" w14:textId="7F0C1761" w:rsidR="00BC10B9" w:rsidRPr="001F3A48" w:rsidRDefault="00343567" w:rsidP="007F2BDF">
      <w:pPr>
        <w:numPr>
          <w:ilvl w:val="0"/>
          <w:numId w:val="12"/>
        </w:numPr>
        <w:pBdr>
          <w:top w:val="nil"/>
          <w:left w:val="nil"/>
          <w:bottom w:val="nil"/>
          <w:right w:val="nil"/>
          <w:between w:val="nil"/>
        </w:pBdr>
        <w:spacing w:after="60"/>
        <w:ind w:left="1440"/>
        <w:rPr>
          <w:rFonts w:eastAsia="Arial"/>
          <w:sz w:val="24"/>
          <w:szCs w:val="24"/>
        </w:rPr>
      </w:pPr>
      <w:r w:rsidRPr="001363DD">
        <w:rPr>
          <w:rFonts w:eastAsia="Arial"/>
          <w:color w:val="000000"/>
          <w:sz w:val="24"/>
          <w:szCs w:val="24"/>
        </w:rPr>
        <w:t xml:space="preserve">One (1) FY </w:t>
      </w:r>
      <w:r w:rsidR="007F2BDF">
        <w:rPr>
          <w:rFonts w:eastAsia="Arial"/>
          <w:color w:val="000000"/>
          <w:sz w:val="24"/>
          <w:szCs w:val="24"/>
        </w:rPr>
        <w:t>20</w:t>
      </w:r>
      <w:r w:rsidRPr="001363DD">
        <w:rPr>
          <w:rFonts w:eastAsia="Arial"/>
          <w:color w:val="000000"/>
          <w:sz w:val="24"/>
          <w:szCs w:val="24"/>
        </w:rPr>
        <w:t>20</w:t>
      </w:r>
      <w:r w:rsidR="005925AC">
        <w:rPr>
          <w:rFonts w:eastAsia="Arial"/>
          <w:color w:val="000000"/>
          <w:sz w:val="24"/>
          <w:szCs w:val="24"/>
        </w:rPr>
        <w:t xml:space="preserve"> and</w:t>
      </w:r>
      <w:r w:rsidR="007F2BDF">
        <w:rPr>
          <w:rFonts w:eastAsia="Arial"/>
          <w:color w:val="000000"/>
          <w:sz w:val="24"/>
          <w:szCs w:val="24"/>
        </w:rPr>
        <w:t xml:space="preserve"> FY</w:t>
      </w:r>
      <w:r w:rsidR="005925AC">
        <w:rPr>
          <w:rFonts w:eastAsia="Arial"/>
          <w:color w:val="000000"/>
          <w:sz w:val="24"/>
          <w:szCs w:val="24"/>
        </w:rPr>
        <w:t xml:space="preserve"> </w:t>
      </w:r>
      <w:r w:rsidR="007F2BDF">
        <w:rPr>
          <w:rFonts w:eastAsia="Arial"/>
          <w:color w:val="000000"/>
          <w:sz w:val="24"/>
          <w:szCs w:val="24"/>
        </w:rPr>
        <w:t>20</w:t>
      </w:r>
      <w:r w:rsidRPr="001363DD">
        <w:rPr>
          <w:rFonts w:eastAsia="Arial"/>
          <w:color w:val="000000"/>
          <w:sz w:val="24"/>
          <w:szCs w:val="24"/>
        </w:rPr>
        <w:t xml:space="preserve">21 completed </w:t>
      </w:r>
      <w:r w:rsidR="002246AB">
        <w:rPr>
          <w:rFonts w:eastAsia="Arial"/>
          <w:color w:val="000000"/>
          <w:sz w:val="24"/>
          <w:szCs w:val="24"/>
        </w:rPr>
        <w:t>Excel Budget Workbook</w:t>
      </w:r>
      <w:r w:rsidR="00D15AF4">
        <w:rPr>
          <w:rFonts w:eastAsia="Arial"/>
          <w:color w:val="000000"/>
          <w:sz w:val="24"/>
          <w:szCs w:val="24"/>
        </w:rPr>
        <w:t xml:space="preserve"> file</w:t>
      </w:r>
      <w:r w:rsidRPr="001363DD">
        <w:rPr>
          <w:rFonts w:eastAsia="Arial"/>
          <w:color w:val="000000"/>
          <w:sz w:val="24"/>
          <w:szCs w:val="24"/>
        </w:rPr>
        <w:t>,</w:t>
      </w:r>
      <w:r w:rsidRPr="001363DD">
        <w:rPr>
          <w:rFonts w:eastAsia="Arial"/>
          <w:b/>
          <w:color w:val="000000"/>
          <w:sz w:val="24"/>
          <w:szCs w:val="24"/>
        </w:rPr>
        <w:t xml:space="preserve"> </w:t>
      </w:r>
      <w:r w:rsidRPr="001363DD">
        <w:rPr>
          <w:rFonts w:eastAsia="Arial"/>
          <w:b/>
          <w:i/>
          <w:color w:val="000000"/>
          <w:sz w:val="24"/>
          <w:szCs w:val="24"/>
        </w:rPr>
        <w:t>AND</w:t>
      </w:r>
    </w:p>
    <w:p w14:paraId="230E644C" w14:textId="77777777" w:rsidR="00BC10B9" w:rsidRPr="001363DD" w:rsidRDefault="00343567" w:rsidP="00571DE4">
      <w:pPr>
        <w:numPr>
          <w:ilvl w:val="0"/>
          <w:numId w:val="12"/>
        </w:numPr>
        <w:pBdr>
          <w:top w:val="nil"/>
          <w:left w:val="nil"/>
          <w:bottom w:val="nil"/>
          <w:right w:val="nil"/>
          <w:between w:val="nil"/>
        </w:pBdr>
        <w:ind w:left="1440"/>
        <w:rPr>
          <w:rFonts w:eastAsia="Arial"/>
          <w:sz w:val="24"/>
          <w:szCs w:val="24"/>
        </w:rPr>
      </w:pPr>
      <w:r w:rsidRPr="001363DD">
        <w:rPr>
          <w:rFonts w:eastAsia="Arial"/>
          <w:color w:val="000000"/>
          <w:sz w:val="24"/>
          <w:szCs w:val="24"/>
        </w:rPr>
        <w:t>One (1) PDF copy of the entire complete signed application.</w:t>
      </w:r>
    </w:p>
    <w:p w14:paraId="6EB4CE91" w14:textId="6922485D" w:rsidR="00BC10B9" w:rsidRPr="001363DD" w:rsidRDefault="00BC10B9" w:rsidP="00EB415B">
      <w:pPr>
        <w:rPr>
          <w:rFonts w:eastAsia="Arial"/>
          <w:color w:val="000000"/>
          <w:sz w:val="22"/>
          <w:szCs w:val="22"/>
        </w:rPr>
      </w:pPr>
    </w:p>
    <w:p w14:paraId="29657562" w14:textId="77777777" w:rsidR="00BC10B9" w:rsidRPr="00520990" w:rsidRDefault="00343567" w:rsidP="007F2BDF">
      <w:pPr>
        <w:pStyle w:val="ListParagraph"/>
        <w:numPr>
          <w:ilvl w:val="0"/>
          <w:numId w:val="25"/>
        </w:numPr>
        <w:pBdr>
          <w:top w:val="nil"/>
          <w:left w:val="nil"/>
          <w:bottom w:val="nil"/>
          <w:right w:val="nil"/>
          <w:between w:val="nil"/>
        </w:pBdr>
        <w:spacing w:before="120"/>
        <w:ind w:left="720"/>
        <w:outlineLvl w:val="1"/>
        <w:rPr>
          <w:rFonts w:eastAsia="Arial"/>
          <w:b/>
          <w:sz w:val="22"/>
          <w:szCs w:val="22"/>
        </w:rPr>
      </w:pPr>
      <w:bookmarkStart w:id="22" w:name="_vr9i0oz165yx" w:colFirst="0" w:colLast="0"/>
      <w:bookmarkStart w:id="23" w:name="_Toc2677823"/>
      <w:bookmarkEnd w:id="22"/>
      <w:r w:rsidRPr="00520990">
        <w:rPr>
          <w:rFonts w:eastAsia="Arial"/>
          <w:b/>
          <w:sz w:val="22"/>
          <w:szCs w:val="22"/>
        </w:rPr>
        <w:t>Reporting Requirements</w:t>
      </w:r>
      <w:bookmarkEnd w:id="23"/>
    </w:p>
    <w:p w14:paraId="38769CA9" w14:textId="77777777" w:rsidR="00BC10B9" w:rsidRPr="001363DD" w:rsidRDefault="00343567" w:rsidP="00520990">
      <w:pPr>
        <w:ind w:left="720"/>
        <w:rPr>
          <w:rFonts w:eastAsia="Arial"/>
          <w:sz w:val="22"/>
          <w:szCs w:val="22"/>
        </w:rPr>
      </w:pPr>
      <w:r w:rsidRPr="001363DD">
        <w:rPr>
          <w:rFonts w:eastAsia="Arial"/>
          <w:sz w:val="22"/>
          <w:szCs w:val="22"/>
        </w:rPr>
        <w:t>All grant recipients are required to complete and submit a Progress Report and a Financial Report by the 12th working day after the close of each quarter.</w:t>
      </w:r>
    </w:p>
    <w:p w14:paraId="3964DD95" w14:textId="77777777" w:rsidR="00BC10B9" w:rsidRPr="001363DD" w:rsidRDefault="00BC10B9" w:rsidP="00520990">
      <w:pPr>
        <w:ind w:left="720"/>
        <w:rPr>
          <w:rFonts w:eastAsia="Arial"/>
          <w:sz w:val="22"/>
          <w:szCs w:val="22"/>
        </w:rPr>
      </w:pPr>
    </w:p>
    <w:p w14:paraId="6D955CF7" w14:textId="77777777" w:rsidR="00BC10B9" w:rsidRDefault="00343567" w:rsidP="00520990">
      <w:pPr>
        <w:ind w:left="720"/>
        <w:rPr>
          <w:rFonts w:eastAsia="Arial"/>
          <w:sz w:val="22"/>
          <w:szCs w:val="22"/>
        </w:rPr>
      </w:pPr>
      <w:bookmarkStart w:id="24" w:name="_1y810tw" w:colFirst="0" w:colLast="0"/>
      <w:bookmarkEnd w:id="24"/>
      <w:r w:rsidRPr="00520990">
        <w:rPr>
          <w:rFonts w:eastAsia="Arial"/>
          <w:sz w:val="22"/>
          <w:szCs w:val="22"/>
        </w:rPr>
        <w:t>Projected FY 2020 Project Progress Report and Financial Report Due Dates</w:t>
      </w:r>
      <w:r w:rsidR="00520990">
        <w:rPr>
          <w:rFonts w:eastAsia="Arial"/>
          <w:sz w:val="22"/>
          <w:szCs w:val="22"/>
        </w:rPr>
        <w:t>:</w:t>
      </w:r>
    </w:p>
    <w:p w14:paraId="161C66A5" w14:textId="77777777" w:rsidR="00520990" w:rsidRPr="00520990" w:rsidRDefault="00520990" w:rsidP="00520990">
      <w:pPr>
        <w:ind w:left="720"/>
        <w:rPr>
          <w:rFonts w:eastAsia="Arial"/>
          <w:sz w:val="22"/>
          <w:szCs w:val="22"/>
        </w:rPr>
      </w:pPr>
    </w:p>
    <w:tbl>
      <w:tblPr>
        <w:tblStyle w:val="a0"/>
        <w:tblW w:w="612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3150"/>
      </w:tblGrid>
      <w:tr w:rsidR="00BC10B9" w:rsidRPr="001363DD" w14:paraId="477AB404" w14:textId="77777777" w:rsidTr="00520990">
        <w:tc>
          <w:tcPr>
            <w:tcW w:w="2970" w:type="dxa"/>
          </w:tcPr>
          <w:p w14:paraId="5A9A859B" w14:textId="239C2101" w:rsidR="00BC10B9" w:rsidRPr="001363DD" w:rsidRDefault="00343567" w:rsidP="00EB415B">
            <w:pPr>
              <w:rPr>
                <w:rFonts w:eastAsia="Arial"/>
                <w:sz w:val="22"/>
                <w:szCs w:val="22"/>
              </w:rPr>
            </w:pPr>
            <w:r w:rsidRPr="001363DD">
              <w:rPr>
                <w:rFonts w:eastAsia="Arial"/>
                <w:sz w:val="22"/>
                <w:szCs w:val="22"/>
              </w:rPr>
              <w:t>Jul</w:t>
            </w:r>
            <w:r w:rsidR="00532E87">
              <w:rPr>
                <w:rFonts w:eastAsia="Arial"/>
                <w:sz w:val="22"/>
                <w:szCs w:val="22"/>
              </w:rPr>
              <w:t>–</w:t>
            </w:r>
            <w:r w:rsidRPr="001363DD">
              <w:rPr>
                <w:rFonts w:eastAsia="Arial"/>
                <w:sz w:val="22"/>
                <w:szCs w:val="22"/>
              </w:rPr>
              <w:t>Sept Quarter</w:t>
            </w:r>
          </w:p>
        </w:tc>
        <w:tc>
          <w:tcPr>
            <w:tcW w:w="3150" w:type="dxa"/>
          </w:tcPr>
          <w:p w14:paraId="750477F4" w14:textId="77777777" w:rsidR="00BC10B9" w:rsidRPr="001363DD" w:rsidRDefault="00343567" w:rsidP="00EB415B">
            <w:pPr>
              <w:rPr>
                <w:rFonts w:eastAsia="Arial"/>
                <w:sz w:val="22"/>
                <w:szCs w:val="22"/>
              </w:rPr>
            </w:pPr>
            <w:r w:rsidRPr="001363DD">
              <w:rPr>
                <w:rFonts w:eastAsia="Arial"/>
                <w:sz w:val="22"/>
                <w:szCs w:val="22"/>
              </w:rPr>
              <w:t>October 17, 2019</w:t>
            </w:r>
          </w:p>
        </w:tc>
      </w:tr>
      <w:tr w:rsidR="00BC10B9" w:rsidRPr="001363DD" w14:paraId="2356C03B" w14:textId="77777777" w:rsidTr="00520990">
        <w:tc>
          <w:tcPr>
            <w:tcW w:w="2970" w:type="dxa"/>
          </w:tcPr>
          <w:p w14:paraId="4958D857" w14:textId="67B0A4CB" w:rsidR="00BC10B9" w:rsidRPr="001363DD" w:rsidRDefault="00343567" w:rsidP="00EB415B">
            <w:pPr>
              <w:rPr>
                <w:rFonts w:eastAsia="Arial"/>
                <w:sz w:val="22"/>
                <w:szCs w:val="22"/>
              </w:rPr>
            </w:pPr>
            <w:r w:rsidRPr="001363DD">
              <w:rPr>
                <w:rFonts w:eastAsia="Arial"/>
                <w:sz w:val="22"/>
                <w:szCs w:val="22"/>
              </w:rPr>
              <w:t>Oct</w:t>
            </w:r>
            <w:r w:rsidR="00532E87">
              <w:rPr>
                <w:rFonts w:eastAsia="Arial"/>
                <w:sz w:val="22"/>
                <w:szCs w:val="22"/>
              </w:rPr>
              <w:t>–</w:t>
            </w:r>
            <w:r w:rsidRPr="001363DD">
              <w:rPr>
                <w:rFonts w:eastAsia="Arial"/>
                <w:sz w:val="22"/>
                <w:szCs w:val="22"/>
              </w:rPr>
              <w:t>Dec Quarter</w:t>
            </w:r>
          </w:p>
        </w:tc>
        <w:tc>
          <w:tcPr>
            <w:tcW w:w="3150" w:type="dxa"/>
          </w:tcPr>
          <w:p w14:paraId="7070681B" w14:textId="77777777" w:rsidR="00BC10B9" w:rsidRPr="001363DD" w:rsidRDefault="00343567" w:rsidP="00EB415B">
            <w:pPr>
              <w:rPr>
                <w:rFonts w:eastAsia="Arial"/>
                <w:sz w:val="22"/>
                <w:szCs w:val="22"/>
              </w:rPr>
            </w:pPr>
            <w:r w:rsidRPr="001363DD">
              <w:rPr>
                <w:rFonts w:eastAsia="Arial"/>
                <w:sz w:val="22"/>
                <w:szCs w:val="22"/>
              </w:rPr>
              <w:t>January 21, 2020</w:t>
            </w:r>
          </w:p>
        </w:tc>
      </w:tr>
      <w:tr w:rsidR="00BC10B9" w:rsidRPr="001363DD" w14:paraId="468E6C05" w14:textId="77777777" w:rsidTr="00520990">
        <w:tc>
          <w:tcPr>
            <w:tcW w:w="2970" w:type="dxa"/>
          </w:tcPr>
          <w:p w14:paraId="52196AFA" w14:textId="7B1EB5EA" w:rsidR="00BC10B9" w:rsidRPr="001363DD" w:rsidRDefault="00343567" w:rsidP="00EB415B">
            <w:pPr>
              <w:rPr>
                <w:rFonts w:eastAsia="Arial"/>
                <w:sz w:val="22"/>
                <w:szCs w:val="22"/>
              </w:rPr>
            </w:pPr>
            <w:r w:rsidRPr="001363DD">
              <w:rPr>
                <w:rFonts w:eastAsia="Arial"/>
                <w:sz w:val="22"/>
                <w:szCs w:val="22"/>
              </w:rPr>
              <w:t>Jan</w:t>
            </w:r>
            <w:r w:rsidR="00532E87">
              <w:rPr>
                <w:rFonts w:eastAsia="Arial"/>
                <w:sz w:val="22"/>
                <w:szCs w:val="22"/>
              </w:rPr>
              <w:t>–</w:t>
            </w:r>
            <w:r w:rsidRPr="001363DD">
              <w:rPr>
                <w:rFonts w:eastAsia="Arial"/>
                <w:sz w:val="22"/>
                <w:szCs w:val="22"/>
              </w:rPr>
              <w:t>March Quarter</w:t>
            </w:r>
          </w:p>
        </w:tc>
        <w:tc>
          <w:tcPr>
            <w:tcW w:w="3150" w:type="dxa"/>
          </w:tcPr>
          <w:p w14:paraId="3429E6F7" w14:textId="77777777" w:rsidR="00BC10B9" w:rsidRPr="001363DD" w:rsidRDefault="00343567" w:rsidP="00EB415B">
            <w:pPr>
              <w:rPr>
                <w:rFonts w:eastAsia="Arial"/>
                <w:sz w:val="22"/>
                <w:szCs w:val="22"/>
              </w:rPr>
            </w:pPr>
            <w:r w:rsidRPr="001363DD">
              <w:rPr>
                <w:rFonts w:eastAsia="Arial"/>
                <w:sz w:val="22"/>
                <w:szCs w:val="22"/>
              </w:rPr>
              <w:t>April 16, 2020</w:t>
            </w:r>
          </w:p>
        </w:tc>
      </w:tr>
      <w:tr w:rsidR="00BC10B9" w:rsidRPr="001363DD" w14:paraId="101F46AC" w14:textId="77777777" w:rsidTr="00520990">
        <w:tc>
          <w:tcPr>
            <w:tcW w:w="2970" w:type="dxa"/>
          </w:tcPr>
          <w:p w14:paraId="60D2D0EF" w14:textId="606AC96F" w:rsidR="00BC10B9" w:rsidRPr="001363DD" w:rsidRDefault="007F2BDF" w:rsidP="00EB415B">
            <w:pPr>
              <w:rPr>
                <w:rFonts w:eastAsia="Arial"/>
                <w:sz w:val="22"/>
                <w:szCs w:val="22"/>
              </w:rPr>
            </w:pPr>
            <w:r>
              <w:rPr>
                <w:rFonts w:eastAsia="Arial"/>
                <w:sz w:val="22"/>
                <w:szCs w:val="22"/>
              </w:rPr>
              <w:t>Apr</w:t>
            </w:r>
            <w:r w:rsidR="00532E87">
              <w:rPr>
                <w:rFonts w:eastAsia="Arial"/>
                <w:sz w:val="22"/>
                <w:szCs w:val="22"/>
              </w:rPr>
              <w:t>–</w:t>
            </w:r>
            <w:r w:rsidR="00343567" w:rsidRPr="001363DD">
              <w:rPr>
                <w:rFonts w:eastAsia="Arial"/>
                <w:sz w:val="22"/>
                <w:szCs w:val="22"/>
              </w:rPr>
              <w:t>June Quarter</w:t>
            </w:r>
          </w:p>
        </w:tc>
        <w:tc>
          <w:tcPr>
            <w:tcW w:w="3150" w:type="dxa"/>
          </w:tcPr>
          <w:p w14:paraId="12A647DB" w14:textId="77777777" w:rsidR="00BC10B9" w:rsidRPr="001363DD" w:rsidRDefault="00343567" w:rsidP="00EB415B">
            <w:pPr>
              <w:rPr>
                <w:rFonts w:eastAsia="Arial"/>
                <w:sz w:val="22"/>
                <w:szCs w:val="22"/>
              </w:rPr>
            </w:pPr>
            <w:r w:rsidRPr="001363DD">
              <w:rPr>
                <w:rFonts w:eastAsia="Arial"/>
                <w:sz w:val="22"/>
                <w:szCs w:val="22"/>
              </w:rPr>
              <w:t>July 17, 2020</w:t>
            </w:r>
          </w:p>
        </w:tc>
      </w:tr>
    </w:tbl>
    <w:p w14:paraId="1AE6EB1C" w14:textId="77777777" w:rsidR="00BC10B9" w:rsidRPr="001363DD" w:rsidRDefault="00BC10B9" w:rsidP="00520990">
      <w:pPr>
        <w:ind w:left="720"/>
        <w:rPr>
          <w:rFonts w:eastAsia="Arial"/>
          <w:sz w:val="22"/>
          <w:szCs w:val="22"/>
        </w:rPr>
      </w:pPr>
    </w:p>
    <w:p w14:paraId="27D6549C" w14:textId="77777777" w:rsidR="00BC10B9" w:rsidRPr="001363DD" w:rsidRDefault="00343567" w:rsidP="00520990">
      <w:pPr>
        <w:ind w:left="720"/>
        <w:rPr>
          <w:rFonts w:eastAsia="Arial"/>
          <w:sz w:val="22"/>
          <w:szCs w:val="22"/>
        </w:rPr>
      </w:pPr>
      <w:r w:rsidRPr="001363DD">
        <w:rPr>
          <w:rFonts w:eastAsia="Arial"/>
          <w:sz w:val="22"/>
          <w:szCs w:val="22"/>
        </w:rPr>
        <w:t>In accordance with a Criminal Justice Services Board policy, applicable to all DCJS grant programs, no current recipient of funding will be considered for continuation funding if, as of the grant application due date, any of the required Financial and Progress reports for the current grant are more than 30 days overdue. For good cause, submitted in writing, DCJS may waive this provision.</w:t>
      </w:r>
    </w:p>
    <w:p w14:paraId="6478AA6E" w14:textId="77777777" w:rsidR="00BC10B9" w:rsidRPr="001363DD" w:rsidRDefault="00BC10B9" w:rsidP="00520990">
      <w:pPr>
        <w:ind w:left="720"/>
        <w:rPr>
          <w:rFonts w:eastAsia="Arial"/>
          <w:sz w:val="22"/>
          <w:szCs w:val="22"/>
        </w:rPr>
      </w:pPr>
    </w:p>
    <w:p w14:paraId="042F1BED" w14:textId="77777777" w:rsidR="00BC10B9" w:rsidRPr="001363DD" w:rsidRDefault="00343567" w:rsidP="00520990">
      <w:pPr>
        <w:pBdr>
          <w:top w:val="nil"/>
          <w:left w:val="nil"/>
          <w:bottom w:val="nil"/>
          <w:right w:val="nil"/>
          <w:between w:val="nil"/>
        </w:pBdr>
        <w:ind w:left="720"/>
        <w:rPr>
          <w:rFonts w:eastAsia="Arial"/>
          <w:b/>
          <w:sz w:val="22"/>
          <w:szCs w:val="22"/>
        </w:rPr>
      </w:pPr>
      <w:r w:rsidRPr="001363DD">
        <w:rPr>
          <w:rFonts w:eastAsia="Arial"/>
          <w:b/>
          <w:sz w:val="22"/>
          <w:szCs w:val="22"/>
        </w:rPr>
        <w:t>Financial and Progress Reporting</w:t>
      </w:r>
    </w:p>
    <w:p w14:paraId="1E4EFE09" w14:textId="77777777" w:rsidR="00BC10B9" w:rsidRPr="001363DD" w:rsidRDefault="00343567" w:rsidP="00520990">
      <w:pPr>
        <w:ind w:left="720"/>
        <w:rPr>
          <w:rFonts w:eastAsia="Arial"/>
          <w:sz w:val="22"/>
          <w:szCs w:val="22"/>
        </w:rPr>
      </w:pPr>
      <w:r w:rsidRPr="001363DD">
        <w:rPr>
          <w:rFonts w:eastAsia="Arial"/>
          <w:sz w:val="22"/>
          <w:szCs w:val="22"/>
        </w:rPr>
        <w:t>DCJS requires online submission of financial and progress reports into the DCJS Grants</w:t>
      </w:r>
    </w:p>
    <w:p w14:paraId="577455D1" w14:textId="1B8E5077" w:rsidR="00BC10B9" w:rsidRPr="001363DD" w:rsidRDefault="00343567" w:rsidP="00D15AF4">
      <w:pPr>
        <w:ind w:left="720"/>
        <w:rPr>
          <w:rFonts w:eastAsia="Arial"/>
          <w:sz w:val="22"/>
          <w:szCs w:val="22"/>
        </w:rPr>
      </w:pPr>
      <w:r w:rsidRPr="001363DD">
        <w:rPr>
          <w:rFonts w:eastAsia="Arial"/>
          <w:sz w:val="22"/>
          <w:szCs w:val="22"/>
        </w:rPr>
        <w:t>Management Information System (GMIS); therefore, all recipients of grant funding must</w:t>
      </w:r>
      <w:r w:rsidR="00D15AF4">
        <w:rPr>
          <w:rFonts w:eastAsia="Arial"/>
          <w:sz w:val="22"/>
          <w:szCs w:val="22"/>
        </w:rPr>
        <w:t xml:space="preserve"> </w:t>
      </w:r>
      <w:r w:rsidRPr="001363DD">
        <w:rPr>
          <w:rFonts w:eastAsia="Arial"/>
          <w:sz w:val="22"/>
          <w:szCs w:val="22"/>
        </w:rPr>
        <w:t xml:space="preserve">have access to the Internet for reporting purposes. Additional information about GMIS can be found on the DCJS website at: </w:t>
      </w:r>
      <w:hyperlink r:id="rId23">
        <w:r w:rsidR="007F2BDF">
          <w:rPr>
            <w:rFonts w:eastAsia="Arial"/>
            <w:color w:val="1155CC"/>
            <w:sz w:val="22"/>
            <w:szCs w:val="22"/>
            <w:u w:val="single"/>
          </w:rPr>
          <w:t>www.dcjs.virginia.gov/grants/gmis-online</w:t>
        </w:r>
      </w:hyperlink>
      <w:r w:rsidRPr="001363DD">
        <w:rPr>
          <w:rFonts w:eastAsia="Arial"/>
          <w:sz w:val="22"/>
          <w:szCs w:val="22"/>
        </w:rPr>
        <w:t>.</w:t>
      </w:r>
    </w:p>
    <w:p w14:paraId="250D15C2" w14:textId="77777777" w:rsidR="00BC10B9" w:rsidRPr="001363DD" w:rsidRDefault="00BC10B9" w:rsidP="00520990">
      <w:pPr>
        <w:pStyle w:val="Heading2"/>
        <w:ind w:left="720"/>
        <w:rPr>
          <w:rFonts w:ascii="Times New Roman" w:hAnsi="Times New Roman" w:cs="Times New Roman"/>
          <w:b/>
        </w:rPr>
      </w:pPr>
      <w:bookmarkStart w:id="25" w:name="_ft4kz4r930tw" w:colFirst="0" w:colLast="0"/>
      <w:bookmarkEnd w:id="25"/>
    </w:p>
    <w:p w14:paraId="02087D5C" w14:textId="7BEBD53B" w:rsidR="00BC10B9" w:rsidRDefault="00343567" w:rsidP="007F2BDF">
      <w:pPr>
        <w:spacing w:after="60"/>
        <w:ind w:left="720"/>
        <w:rPr>
          <w:rFonts w:eastAsia="Arial"/>
          <w:sz w:val="22"/>
          <w:szCs w:val="22"/>
        </w:rPr>
      </w:pPr>
      <w:r w:rsidRPr="001363DD">
        <w:rPr>
          <w:rFonts w:eastAsia="Arial"/>
          <w:sz w:val="22"/>
          <w:szCs w:val="22"/>
        </w:rPr>
        <w:t>Required reports include:</w:t>
      </w:r>
    </w:p>
    <w:p w14:paraId="1ABDE9A6" w14:textId="756E5413" w:rsidR="00BC10B9" w:rsidRDefault="00343567" w:rsidP="007F2BDF">
      <w:pPr>
        <w:numPr>
          <w:ilvl w:val="0"/>
          <w:numId w:val="13"/>
        </w:numPr>
        <w:spacing w:after="60"/>
        <w:ind w:left="1440"/>
        <w:rPr>
          <w:rFonts w:eastAsia="Arial"/>
          <w:sz w:val="22"/>
          <w:szCs w:val="22"/>
        </w:rPr>
      </w:pPr>
      <w:r w:rsidRPr="001363DD">
        <w:rPr>
          <w:rFonts w:eastAsia="Arial"/>
          <w:sz w:val="22"/>
          <w:szCs w:val="22"/>
        </w:rPr>
        <w:t>Quarterly Financial Reports</w:t>
      </w:r>
    </w:p>
    <w:p w14:paraId="02B933C4" w14:textId="77777777" w:rsidR="00BC10B9" w:rsidRPr="001363DD" w:rsidRDefault="00343567" w:rsidP="00571DE4">
      <w:pPr>
        <w:numPr>
          <w:ilvl w:val="0"/>
          <w:numId w:val="13"/>
        </w:numPr>
        <w:ind w:left="1440"/>
        <w:rPr>
          <w:rFonts w:eastAsia="Arial"/>
          <w:sz w:val="22"/>
          <w:szCs w:val="22"/>
        </w:rPr>
      </w:pPr>
      <w:r w:rsidRPr="001363DD">
        <w:rPr>
          <w:rFonts w:eastAsia="Arial"/>
          <w:sz w:val="22"/>
          <w:szCs w:val="22"/>
        </w:rPr>
        <w:t>Quarterly Progress Reports, describing activities supported with these funds.</w:t>
      </w:r>
    </w:p>
    <w:p w14:paraId="1603A200" w14:textId="77777777" w:rsidR="00BC10B9" w:rsidRPr="001363DD" w:rsidRDefault="00343567" w:rsidP="00520990">
      <w:pPr>
        <w:ind w:left="1440"/>
        <w:rPr>
          <w:rFonts w:eastAsia="Arial"/>
          <w:i/>
          <w:sz w:val="22"/>
          <w:szCs w:val="22"/>
        </w:rPr>
      </w:pPr>
      <w:r w:rsidRPr="001363DD">
        <w:rPr>
          <w:rFonts w:eastAsia="Arial"/>
          <w:i/>
          <w:sz w:val="22"/>
          <w:szCs w:val="22"/>
        </w:rPr>
        <w:t>Grantees will be provided with access to the Office for Victims of Crime (OVC) Performance Measurement Tool (PMT), a narrative report form, and additional instructions for completing the quarterly progress reports.</w:t>
      </w:r>
    </w:p>
    <w:p w14:paraId="246A8B88" w14:textId="6559FF15" w:rsidR="00BC10B9" w:rsidRPr="001363DD" w:rsidRDefault="00F03F22" w:rsidP="00520990">
      <w:pPr>
        <w:ind w:left="720"/>
        <w:rPr>
          <w:rFonts w:eastAsia="Arial"/>
          <w:sz w:val="22"/>
          <w:szCs w:val="22"/>
        </w:rPr>
      </w:pPr>
      <w:r>
        <w:rPr>
          <w:rFonts w:eastAsia="Arial"/>
          <w:sz w:val="22"/>
          <w:szCs w:val="22"/>
        </w:rPr>
        <w:tab/>
      </w:r>
    </w:p>
    <w:p w14:paraId="2677AD5C" w14:textId="77777777" w:rsidR="00BC10B9" w:rsidRPr="001363DD" w:rsidRDefault="00343567" w:rsidP="00F03F22">
      <w:pPr>
        <w:ind w:firstLine="720"/>
        <w:rPr>
          <w:b/>
        </w:rPr>
      </w:pPr>
      <w:bookmarkStart w:id="26" w:name="_rze6usl0wpzw" w:colFirst="0" w:colLast="0"/>
      <w:bookmarkEnd w:id="26"/>
      <w:r w:rsidRPr="001363DD">
        <w:rPr>
          <w:b/>
          <w:sz w:val="22"/>
          <w:szCs w:val="22"/>
        </w:rPr>
        <w:t>Performance Measurement Tool (PMT)</w:t>
      </w:r>
    </w:p>
    <w:p w14:paraId="58426ACD" w14:textId="77777777" w:rsidR="00BC10B9" w:rsidRPr="001363DD" w:rsidRDefault="00343567" w:rsidP="00520990">
      <w:pPr>
        <w:ind w:left="720"/>
        <w:rPr>
          <w:rFonts w:eastAsia="Arial"/>
          <w:sz w:val="22"/>
          <w:szCs w:val="22"/>
        </w:rPr>
      </w:pPr>
      <w:r w:rsidRPr="001363DD">
        <w:rPr>
          <w:rFonts w:eastAsia="Arial"/>
          <w:sz w:val="22"/>
          <w:szCs w:val="22"/>
        </w:rPr>
        <w:t>The federal Office for Victims of Crime (OVC) requires all VOCA funded projects to report annual award and quarterly performance activities in the PMT online system. Grantees will be required to submit data in PMT, as well as additional narrative reports and data in DCJS GMIS. Additional instructions will be provided to grant recipients.</w:t>
      </w:r>
    </w:p>
    <w:p w14:paraId="07082626" w14:textId="77777777" w:rsidR="00BC10B9" w:rsidRPr="001363DD" w:rsidRDefault="00BC10B9" w:rsidP="00520990">
      <w:pPr>
        <w:ind w:left="720"/>
        <w:rPr>
          <w:rFonts w:eastAsia="Arial"/>
          <w:sz w:val="22"/>
          <w:szCs w:val="22"/>
        </w:rPr>
      </w:pPr>
    </w:p>
    <w:p w14:paraId="5EAC33F4" w14:textId="77777777" w:rsidR="00BC10B9" w:rsidRPr="001363DD" w:rsidRDefault="00343567" w:rsidP="00F03F22">
      <w:pPr>
        <w:ind w:firstLine="720"/>
        <w:rPr>
          <w:b/>
          <w:sz w:val="22"/>
          <w:szCs w:val="22"/>
        </w:rPr>
      </w:pPr>
      <w:bookmarkStart w:id="27" w:name="_mvbcdzum5vc9" w:colFirst="0" w:colLast="0"/>
      <w:bookmarkEnd w:id="27"/>
      <w:r w:rsidRPr="001363DD">
        <w:rPr>
          <w:b/>
          <w:sz w:val="22"/>
          <w:szCs w:val="22"/>
        </w:rPr>
        <w:t>Disbursement of Funds</w:t>
      </w:r>
    </w:p>
    <w:p w14:paraId="0F5201AB" w14:textId="7692E3B7" w:rsidR="00BC10B9" w:rsidRPr="001363DD" w:rsidRDefault="00343567" w:rsidP="00520990">
      <w:pPr>
        <w:ind w:left="720"/>
        <w:rPr>
          <w:rFonts w:eastAsia="Arial"/>
          <w:sz w:val="22"/>
          <w:szCs w:val="22"/>
        </w:rPr>
      </w:pPr>
      <w:r w:rsidRPr="001363DD">
        <w:rPr>
          <w:rFonts w:eastAsia="Arial"/>
          <w:sz w:val="22"/>
          <w:szCs w:val="22"/>
        </w:rPr>
        <w:t>Disbursement of funds will occur on a cost reimbursement basis for actual funds expended. Actual expenditures should be reported quarterly and invoiced pursuant to approved line item budget categories in the grant award package. Grantees will only be reimbursed for costs that have been incurred within the grant period. Grant funds, including matching funds, may only be expended and/or obligated during the grant period. All obligations must be fulfill</w:t>
      </w:r>
      <w:r w:rsidR="006B526D">
        <w:rPr>
          <w:rFonts w:eastAsia="Arial"/>
          <w:sz w:val="22"/>
          <w:szCs w:val="22"/>
        </w:rPr>
        <w:t>ed no later than 45</w:t>
      </w:r>
      <w:r w:rsidRPr="001363DD">
        <w:rPr>
          <w:rFonts w:eastAsia="Arial"/>
          <w:sz w:val="22"/>
          <w:szCs w:val="22"/>
        </w:rPr>
        <w:t xml:space="preserve"> days after the end of the grant period. Requests for reimbursement shall be submitted through DCJS GMIS.</w:t>
      </w:r>
    </w:p>
    <w:p w14:paraId="59745003" w14:textId="2A43CF98" w:rsidR="00D27202" w:rsidRDefault="00D27202" w:rsidP="004E1EAF">
      <w:pPr>
        <w:rPr>
          <w:rFonts w:eastAsia="Arial"/>
          <w:sz w:val="22"/>
          <w:szCs w:val="22"/>
        </w:rPr>
      </w:pPr>
      <w:bookmarkStart w:id="28" w:name="_q5t2gxvykpsg" w:colFirst="0" w:colLast="0"/>
      <w:bookmarkStart w:id="29" w:name="_839kwi6xauzk" w:colFirst="0" w:colLast="0"/>
      <w:bookmarkEnd w:id="28"/>
      <w:bookmarkEnd w:id="29"/>
    </w:p>
    <w:p w14:paraId="4DA13685" w14:textId="77777777" w:rsidR="00BC10B9" w:rsidRPr="00C10D62" w:rsidRDefault="00343567" w:rsidP="007F2BDF">
      <w:pPr>
        <w:pStyle w:val="ListParagraph"/>
        <w:numPr>
          <w:ilvl w:val="0"/>
          <w:numId w:val="25"/>
        </w:numPr>
        <w:pBdr>
          <w:top w:val="nil"/>
          <w:left w:val="nil"/>
          <w:bottom w:val="nil"/>
          <w:right w:val="nil"/>
          <w:between w:val="nil"/>
        </w:pBdr>
        <w:spacing w:before="120"/>
        <w:ind w:left="720"/>
        <w:outlineLvl w:val="1"/>
        <w:rPr>
          <w:rFonts w:eastAsia="Arial"/>
          <w:b/>
          <w:sz w:val="22"/>
          <w:szCs w:val="22"/>
        </w:rPr>
      </w:pPr>
      <w:bookmarkStart w:id="30" w:name="_Toc2677824"/>
      <w:r w:rsidRPr="00C10D62">
        <w:rPr>
          <w:rFonts w:eastAsia="Arial"/>
          <w:b/>
          <w:sz w:val="22"/>
          <w:szCs w:val="22"/>
        </w:rPr>
        <w:t>Grant Application Review Process</w:t>
      </w:r>
      <w:bookmarkEnd w:id="30"/>
    </w:p>
    <w:p w14:paraId="19923660" w14:textId="0E7148E8" w:rsidR="00BC10B9" w:rsidRDefault="00343567" w:rsidP="00C10D62">
      <w:pPr>
        <w:ind w:left="720"/>
        <w:rPr>
          <w:rFonts w:eastAsia="Arial"/>
          <w:sz w:val="22"/>
          <w:szCs w:val="22"/>
        </w:rPr>
      </w:pPr>
      <w:r w:rsidRPr="001363DD">
        <w:rPr>
          <w:rFonts w:eastAsia="Arial"/>
          <w:sz w:val="22"/>
          <w:szCs w:val="22"/>
        </w:rPr>
        <w:t>Grant application r</w:t>
      </w:r>
      <w:r w:rsidRPr="001363DD">
        <w:rPr>
          <w:rFonts w:eastAsia="Arial"/>
          <w:color w:val="000000"/>
          <w:sz w:val="22"/>
          <w:szCs w:val="22"/>
        </w:rPr>
        <w:t xml:space="preserve">eviewers will </w:t>
      </w:r>
      <w:r w:rsidR="00DB1B19">
        <w:rPr>
          <w:rFonts w:eastAsia="Arial"/>
          <w:color w:val="000000"/>
          <w:sz w:val="22"/>
          <w:szCs w:val="22"/>
        </w:rPr>
        <w:t>assess a</w:t>
      </w:r>
      <w:r w:rsidRPr="001363DD">
        <w:rPr>
          <w:rFonts w:eastAsia="Arial"/>
          <w:color w:val="000000"/>
          <w:sz w:val="22"/>
          <w:szCs w:val="22"/>
        </w:rPr>
        <w:t>pplication</w:t>
      </w:r>
      <w:r w:rsidR="00DB1B19">
        <w:rPr>
          <w:rFonts w:eastAsia="Arial"/>
          <w:color w:val="000000"/>
          <w:sz w:val="22"/>
          <w:szCs w:val="22"/>
        </w:rPr>
        <w:t xml:space="preserve">s and make funding recommendations. </w:t>
      </w:r>
      <w:r w:rsidR="00AF0D12">
        <w:rPr>
          <w:rFonts w:eastAsia="Arial"/>
          <w:sz w:val="22"/>
          <w:szCs w:val="22"/>
        </w:rPr>
        <w:t xml:space="preserve">DCJS may amend </w:t>
      </w:r>
      <w:r w:rsidR="00AF0D12" w:rsidRPr="00AB6A27">
        <w:rPr>
          <w:rFonts w:eastAsia="Arial"/>
          <w:sz w:val="22"/>
          <w:szCs w:val="22"/>
        </w:rPr>
        <w:t>budgets based on a review of unallowable and/or unreasonable costs, and the availability of funds.</w:t>
      </w:r>
      <w:r w:rsidR="00AB6A27" w:rsidRPr="00AB6A27">
        <w:rPr>
          <w:rFonts w:eastAsia="Arial"/>
          <w:sz w:val="22"/>
          <w:szCs w:val="22"/>
        </w:rPr>
        <w:t xml:space="preserve"> </w:t>
      </w:r>
      <w:r w:rsidR="00AB6A27" w:rsidRPr="00AB6A27">
        <w:rPr>
          <w:sz w:val="22"/>
          <w:szCs w:val="22"/>
        </w:rPr>
        <w:t>DCJS has the discretion to make awards for greater or lesser amounts than requested and to negotiate the scope of work and budget with applicants prior to making an award.</w:t>
      </w:r>
      <w:r w:rsidR="00AB6A27" w:rsidRPr="00AB6A27">
        <w:rPr>
          <w:rFonts w:ascii="Arial" w:hAnsi="Arial" w:cs="Arial"/>
          <w:shd w:val="clear" w:color="auto" w:fill="FFFFFF"/>
        </w:rPr>
        <w:t> </w:t>
      </w:r>
    </w:p>
    <w:p w14:paraId="102EC02E" w14:textId="02F1D828" w:rsidR="00AF0D12" w:rsidRDefault="00AF0D12" w:rsidP="00C10D62">
      <w:pPr>
        <w:ind w:left="720"/>
        <w:rPr>
          <w:rFonts w:eastAsia="Arial"/>
          <w:sz w:val="22"/>
          <w:szCs w:val="22"/>
        </w:rPr>
      </w:pPr>
    </w:p>
    <w:p w14:paraId="12FE376C" w14:textId="06B5242D" w:rsidR="00AF0D12" w:rsidRPr="001363DD" w:rsidRDefault="00AF0D12" w:rsidP="00C10D62">
      <w:pPr>
        <w:ind w:left="720"/>
        <w:rPr>
          <w:rFonts w:eastAsia="Arial"/>
          <w:sz w:val="22"/>
          <w:szCs w:val="22"/>
        </w:rPr>
      </w:pPr>
      <w:r>
        <w:rPr>
          <w:rFonts w:eastAsia="Arial"/>
          <w:sz w:val="22"/>
          <w:szCs w:val="22"/>
        </w:rPr>
        <w:t>The Grants Committee of the Criminal Justice Services Board (CJSB) will review grant applications and recommendations and make funding recommendations to the CJSB.</w:t>
      </w:r>
    </w:p>
    <w:p w14:paraId="193CB09B" w14:textId="77777777" w:rsidR="00BC10B9" w:rsidRPr="001363DD" w:rsidRDefault="00BC10B9" w:rsidP="00C10D62">
      <w:pPr>
        <w:ind w:left="720"/>
        <w:rPr>
          <w:rFonts w:eastAsia="Arial"/>
          <w:sz w:val="22"/>
          <w:szCs w:val="22"/>
        </w:rPr>
      </w:pPr>
    </w:p>
    <w:p w14:paraId="1A33F315" w14:textId="34C3E8B9" w:rsidR="00BC10B9" w:rsidRPr="001363DD" w:rsidRDefault="004126E1" w:rsidP="00C10D62">
      <w:pPr>
        <w:pBdr>
          <w:top w:val="nil"/>
          <w:left w:val="nil"/>
          <w:bottom w:val="nil"/>
          <w:right w:val="nil"/>
          <w:between w:val="nil"/>
        </w:pBdr>
        <w:ind w:left="720"/>
        <w:rPr>
          <w:rFonts w:eastAsia="Arial"/>
          <w:b/>
          <w:sz w:val="22"/>
          <w:szCs w:val="22"/>
        </w:rPr>
      </w:pPr>
      <w:r>
        <w:rPr>
          <w:rFonts w:eastAsia="Arial"/>
          <w:b/>
          <w:color w:val="000000"/>
          <w:sz w:val="22"/>
          <w:szCs w:val="22"/>
        </w:rPr>
        <w:t>The CJSB will make f</w:t>
      </w:r>
      <w:r w:rsidR="00343567" w:rsidRPr="001363DD">
        <w:rPr>
          <w:rFonts w:eastAsia="Arial"/>
          <w:b/>
          <w:color w:val="000000"/>
          <w:sz w:val="22"/>
          <w:szCs w:val="22"/>
        </w:rPr>
        <w:t>inal grant award decisions at their meeting on</w:t>
      </w:r>
      <w:r w:rsidR="00343567" w:rsidRPr="001363DD">
        <w:rPr>
          <w:rFonts w:eastAsia="Arial"/>
          <w:b/>
          <w:sz w:val="22"/>
          <w:szCs w:val="22"/>
        </w:rPr>
        <w:t xml:space="preserve"> May 9, 2019.</w:t>
      </w:r>
    </w:p>
    <w:p w14:paraId="56011D2E" w14:textId="77777777" w:rsidR="00BC10B9" w:rsidRPr="001363DD" w:rsidRDefault="00BC10B9" w:rsidP="00C10D62">
      <w:pPr>
        <w:pBdr>
          <w:top w:val="nil"/>
          <w:left w:val="nil"/>
          <w:bottom w:val="nil"/>
          <w:right w:val="nil"/>
          <w:between w:val="nil"/>
        </w:pBdr>
        <w:ind w:left="720"/>
        <w:rPr>
          <w:rFonts w:eastAsia="Arial"/>
          <w:sz w:val="22"/>
          <w:szCs w:val="22"/>
        </w:rPr>
      </w:pPr>
    </w:p>
    <w:p w14:paraId="03C96287" w14:textId="6AE92C42" w:rsidR="00BC10B9" w:rsidRPr="001363DD" w:rsidRDefault="004126E1" w:rsidP="00C10D62">
      <w:pPr>
        <w:ind w:left="720"/>
        <w:rPr>
          <w:rFonts w:eastAsia="Arial"/>
          <w:sz w:val="22"/>
          <w:szCs w:val="22"/>
        </w:rPr>
      </w:pPr>
      <w:r>
        <w:rPr>
          <w:rFonts w:eastAsia="Arial"/>
          <w:sz w:val="22"/>
          <w:szCs w:val="22"/>
        </w:rPr>
        <w:t xml:space="preserve">Following the CJSB’s decisions, </w:t>
      </w:r>
      <w:r w:rsidR="003E0C53">
        <w:rPr>
          <w:rFonts w:eastAsia="Arial"/>
          <w:sz w:val="22"/>
          <w:szCs w:val="22"/>
        </w:rPr>
        <w:t>g</w:t>
      </w:r>
      <w:r w:rsidR="00343567" w:rsidRPr="001363DD">
        <w:rPr>
          <w:rFonts w:eastAsia="Arial"/>
          <w:sz w:val="22"/>
          <w:szCs w:val="22"/>
        </w:rPr>
        <w:t>rant award packages will be issued by the DCJS Office of Grants Management in the Division of Finance and Administration. Fiscal and programmatic revisions may be required as a condition of funding.</w:t>
      </w:r>
    </w:p>
    <w:p w14:paraId="5FD58F56" w14:textId="77777777" w:rsidR="00BC10B9" w:rsidRPr="001363DD" w:rsidRDefault="00BC10B9" w:rsidP="00C10D62">
      <w:pPr>
        <w:pBdr>
          <w:top w:val="nil"/>
          <w:left w:val="nil"/>
          <w:bottom w:val="nil"/>
          <w:right w:val="nil"/>
          <w:between w:val="nil"/>
        </w:pBdr>
        <w:ind w:left="720"/>
        <w:rPr>
          <w:rFonts w:eastAsia="Arial"/>
          <w:sz w:val="22"/>
          <w:szCs w:val="22"/>
        </w:rPr>
      </w:pPr>
    </w:p>
    <w:p w14:paraId="2C934B42" w14:textId="77777777" w:rsidR="003020BD" w:rsidRPr="001363DD" w:rsidRDefault="003020BD" w:rsidP="003020BD">
      <w:pPr>
        <w:pBdr>
          <w:top w:val="nil"/>
          <w:left w:val="nil"/>
          <w:bottom w:val="nil"/>
          <w:right w:val="nil"/>
          <w:between w:val="nil"/>
        </w:pBdr>
        <w:ind w:left="720"/>
        <w:rPr>
          <w:rFonts w:eastAsia="Arial"/>
          <w:color w:val="000000"/>
          <w:sz w:val="22"/>
          <w:szCs w:val="22"/>
        </w:rPr>
      </w:pPr>
      <w:r w:rsidRPr="001363DD">
        <w:rPr>
          <w:rFonts w:eastAsia="Arial"/>
          <w:color w:val="000000"/>
          <w:sz w:val="22"/>
          <w:szCs w:val="22"/>
        </w:rPr>
        <w:t xml:space="preserve">If the </w:t>
      </w:r>
      <w:r w:rsidRPr="001363DD">
        <w:rPr>
          <w:rFonts w:eastAsia="Arial"/>
          <w:sz w:val="22"/>
          <w:szCs w:val="22"/>
        </w:rPr>
        <w:t xml:space="preserve">CJSB </w:t>
      </w:r>
      <w:r>
        <w:rPr>
          <w:rFonts w:eastAsia="Arial"/>
          <w:sz w:val="22"/>
          <w:szCs w:val="22"/>
        </w:rPr>
        <w:t xml:space="preserve">does not </w:t>
      </w:r>
      <w:r w:rsidRPr="001363DD">
        <w:rPr>
          <w:rFonts w:eastAsia="Arial"/>
          <w:color w:val="000000"/>
          <w:sz w:val="22"/>
          <w:szCs w:val="22"/>
        </w:rPr>
        <w:t xml:space="preserve">recommend </w:t>
      </w:r>
      <w:r>
        <w:rPr>
          <w:rFonts w:eastAsia="Arial"/>
          <w:color w:val="000000"/>
          <w:sz w:val="22"/>
          <w:szCs w:val="22"/>
        </w:rPr>
        <w:t xml:space="preserve">funding for </w:t>
      </w:r>
      <w:r w:rsidRPr="001363DD">
        <w:rPr>
          <w:rFonts w:eastAsia="Arial"/>
          <w:color w:val="000000"/>
          <w:sz w:val="22"/>
          <w:szCs w:val="22"/>
        </w:rPr>
        <w:t xml:space="preserve">an applicant, the applicant may </w:t>
      </w:r>
      <w:r>
        <w:rPr>
          <w:rFonts w:eastAsia="Arial"/>
          <w:color w:val="000000"/>
          <w:sz w:val="22"/>
          <w:szCs w:val="22"/>
        </w:rPr>
        <w:t xml:space="preserve">submit a written </w:t>
      </w:r>
      <w:r w:rsidRPr="001363DD">
        <w:rPr>
          <w:rFonts w:eastAsia="Arial"/>
          <w:color w:val="000000"/>
          <w:sz w:val="22"/>
          <w:szCs w:val="22"/>
        </w:rPr>
        <w:t xml:space="preserve">appeal </w:t>
      </w:r>
      <w:r>
        <w:rPr>
          <w:rFonts w:eastAsia="Arial"/>
          <w:color w:val="000000"/>
          <w:sz w:val="22"/>
          <w:szCs w:val="22"/>
        </w:rPr>
        <w:t xml:space="preserve">to the DCJS Office of Grants Management for consideration by </w:t>
      </w:r>
      <w:r w:rsidRPr="001363DD">
        <w:rPr>
          <w:rFonts w:eastAsia="Arial"/>
          <w:color w:val="000000"/>
          <w:sz w:val="22"/>
          <w:szCs w:val="22"/>
        </w:rPr>
        <w:t>an appeals panel of the CJSB. DCJS will notify any applicants eligible for appeal</w:t>
      </w:r>
      <w:r>
        <w:rPr>
          <w:rFonts w:eastAsia="Arial"/>
          <w:color w:val="000000"/>
          <w:sz w:val="22"/>
          <w:szCs w:val="22"/>
        </w:rPr>
        <w:t xml:space="preserve"> and the date and time of the appeals panel.</w:t>
      </w:r>
    </w:p>
    <w:p w14:paraId="2819E34C" w14:textId="77777777" w:rsidR="003020BD" w:rsidRPr="001363DD" w:rsidRDefault="003020BD" w:rsidP="00C10D62">
      <w:pPr>
        <w:pBdr>
          <w:top w:val="nil"/>
          <w:left w:val="nil"/>
          <w:bottom w:val="nil"/>
          <w:right w:val="nil"/>
          <w:between w:val="nil"/>
        </w:pBdr>
        <w:ind w:left="720"/>
        <w:rPr>
          <w:rFonts w:eastAsia="Arial"/>
          <w:color w:val="000000"/>
          <w:sz w:val="22"/>
          <w:szCs w:val="22"/>
        </w:rPr>
      </w:pPr>
    </w:p>
    <w:p w14:paraId="61899259" w14:textId="77777777" w:rsidR="00BC10B9" w:rsidRPr="001363DD" w:rsidRDefault="00BC10B9" w:rsidP="00EB415B">
      <w:pPr>
        <w:pBdr>
          <w:top w:val="nil"/>
          <w:left w:val="nil"/>
          <w:bottom w:val="nil"/>
          <w:right w:val="nil"/>
          <w:between w:val="nil"/>
        </w:pBdr>
        <w:rPr>
          <w:rFonts w:eastAsia="Arial"/>
          <w:sz w:val="22"/>
          <w:szCs w:val="22"/>
        </w:rPr>
      </w:pPr>
    </w:p>
    <w:p w14:paraId="75C050A6" w14:textId="77777777" w:rsidR="00BC10B9" w:rsidRPr="001363DD" w:rsidRDefault="00343567" w:rsidP="00EB415B">
      <w:pPr>
        <w:pStyle w:val="Heading1"/>
        <w:pBdr>
          <w:top w:val="nil"/>
          <w:left w:val="nil"/>
          <w:bottom w:val="nil"/>
          <w:right w:val="nil"/>
          <w:between w:val="nil"/>
        </w:pBdr>
        <w:rPr>
          <w:rFonts w:ascii="Times New Roman" w:hAnsi="Times New Roman" w:cs="Times New Roman"/>
          <w:color w:val="4A86E8"/>
        </w:rPr>
      </w:pPr>
      <w:bookmarkStart w:id="31" w:name="_5r2npfnj8jvt" w:colFirst="0" w:colLast="0"/>
      <w:bookmarkEnd w:id="31"/>
      <w:r w:rsidRPr="001363DD">
        <w:rPr>
          <w:rFonts w:ascii="Times New Roman" w:hAnsi="Times New Roman" w:cs="Times New Roman"/>
        </w:rPr>
        <w:br w:type="page"/>
      </w:r>
    </w:p>
    <w:p w14:paraId="320CCCC5" w14:textId="557E856A" w:rsidR="00C10D62" w:rsidRPr="007B6F25" w:rsidRDefault="00C10D62" w:rsidP="007B6F25">
      <w:pPr>
        <w:pStyle w:val="Heading1"/>
        <w:rPr>
          <w:rFonts w:ascii="Times New Roman" w:hAnsi="Times New Roman" w:cs="Times New Roman"/>
          <w:sz w:val="24"/>
          <w:szCs w:val="24"/>
        </w:rPr>
      </w:pPr>
      <w:bookmarkStart w:id="32" w:name="_a8919q1j6bnn" w:colFirst="0" w:colLast="0"/>
      <w:bookmarkStart w:id="33" w:name="_Toc2677825"/>
      <w:bookmarkEnd w:id="32"/>
      <w:r w:rsidRPr="007B6F25">
        <w:rPr>
          <w:rFonts w:ascii="Times New Roman" w:hAnsi="Times New Roman" w:cs="Times New Roman"/>
          <w:sz w:val="24"/>
          <w:szCs w:val="24"/>
        </w:rPr>
        <w:lastRenderedPageBreak/>
        <w:t>I</w:t>
      </w:r>
      <w:r w:rsidR="007B6F25" w:rsidRPr="007B6F25">
        <w:rPr>
          <w:rFonts w:ascii="Times New Roman" w:hAnsi="Times New Roman" w:cs="Times New Roman"/>
          <w:sz w:val="24"/>
          <w:szCs w:val="24"/>
        </w:rPr>
        <w:t xml:space="preserve">II. </w:t>
      </w:r>
      <w:r w:rsidRPr="007B6F25">
        <w:rPr>
          <w:rFonts w:ascii="Times New Roman" w:hAnsi="Times New Roman" w:cs="Times New Roman"/>
          <w:sz w:val="24"/>
          <w:szCs w:val="24"/>
        </w:rPr>
        <w:t>Application Guidelines and Forms</w:t>
      </w:r>
      <w:bookmarkEnd w:id="33"/>
    </w:p>
    <w:p w14:paraId="30187B1B" w14:textId="77777777" w:rsidR="00C10D62" w:rsidRDefault="00C10D62" w:rsidP="00EB415B">
      <w:pPr>
        <w:rPr>
          <w:rFonts w:eastAsia="Arial"/>
          <w:b/>
          <w:sz w:val="22"/>
          <w:szCs w:val="22"/>
        </w:rPr>
      </w:pPr>
    </w:p>
    <w:p w14:paraId="363796F9" w14:textId="05259379" w:rsidR="00BC10B9" w:rsidRDefault="0057371F" w:rsidP="007F2BDF">
      <w:pPr>
        <w:spacing w:after="60"/>
        <w:rPr>
          <w:rFonts w:eastAsia="Arial"/>
          <w:sz w:val="22"/>
          <w:szCs w:val="22"/>
        </w:rPr>
      </w:pPr>
      <w:r w:rsidRPr="001363DD">
        <w:rPr>
          <w:rFonts w:eastAsia="Arial"/>
          <w:sz w:val="22"/>
          <w:szCs w:val="22"/>
        </w:rPr>
        <w:t>A</w:t>
      </w:r>
      <w:r w:rsidR="00343567" w:rsidRPr="001363DD">
        <w:rPr>
          <w:rFonts w:eastAsia="Arial"/>
          <w:sz w:val="22"/>
          <w:szCs w:val="22"/>
        </w:rPr>
        <w:t xml:space="preserve">pplicants for VOCA </w:t>
      </w:r>
      <w:r w:rsidR="00DB1B19">
        <w:rPr>
          <w:rFonts w:eastAsia="Arial"/>
          <w:sz w:val="22"/>
          <w:szCs w:val="22"/>
        </w:rPr>
        <w:t xml:space="preserve">Hospital-Based Violence Intervention </w:t>
      </w:r>
      <w:r w:rsidR="00343567" w:rsidRPr="001363DD">
        <w:rPr>
          <w:rFonts w:eastAsia="Arial"/>
          <w:sz w:val="22"/>
          <w:szCs w:val="22"/>
        </w:rPr>
        <w:t>Grant Program funding must complete:</w:t>
      </w:r>
    </w:p>
    <w:p w14:paraId="7097A3D1" w14:textId="344E34FE" w:rsidR="00C10D62" w:rsidRPr="009B612C" w:rsidRDefault="00343567" w:rsidP="007F2BDF">
      <w:pPr>
        <w:pStyle w:val="ListParagraph"/>
        <w:numPr>
          <w:ilvl w:val="0"/>
          <w:numId w:val="43"/>
        </w:numPr>
        <w:spacing w:after="60"/>
        <w:contextualSpacing w:val="0"/>
        <w:rPr>
          <w:rFonts w:eastAsia="Arial"/>
          <w:sz w:val="22"/>
          <w:szCs w:val="22"/>
        </w:rPr>
      </w:pPr>
      <w:r w:rsidRPr="009B612C">
        <w:rPr>
          <w:rFonts w:eastAsia="Arial"/>
          <w:sz w:val="22"/>
          <w:szCs w:val="22"/>
        </w:rPr>
        <w:t xml:space="preserve">Excel Budget Workbook </w:t>
      </w:r>
      <w:r w:rsidR="0057371F" w:rsidRPr="009B612C">
        <w:rPr>
          <w:rFonts w:eastAsia="Arial"/>
          <w:sz w:val="22"/>
          <w:szCs w:val="22"/>
        </w:rPr>
        <w:t>and Budget Narratives</w:t>
      </w:r>
    </w:p>
    <w:p w14:paraId="04748922" w14:textId="3AF781CE" w:rsidR="00C10D62" w:rsidRPr="009B612C" w:rsidRDefault="00343567" w:rsidP="007F2BDF">
      <w:pPr>
        <w:pStyle w:val="ListParagraph"/>
        <w:numPr>
          <w:ilvl w:val="0"/>
          <w:numId w:val="43"/>
        </w:numPr>
        <w:spacing w:after="60"/>
        <w:contextualSpacing w:val="0"/>
        <w:rPr>
          <w:rFonts w:eastAsia="Arial"/>
          <w:sz w:val="22"/>
          <w:szCs w:val="22"/>
        </w:rPr>
      </w:pPr>
      <w:r w:rsidRPr="009B612C">
        <w:rPr>
          <w:rFonts w:eastAsia="Arial"/>
          <w:sz w:val="22"/>
          <w:szCs w:val="22"/>
        </w:rPr>
        <w:t>Project Description</w:t>
      </w:r>
    </w:p>
    <w:p w14:paraId="05BD88BD" w14:textId="30A893EC" w:rsidR="00BC10B9" w:rsidRPr="009B612C" w:rsidRDefault="00343567" w:rsidP="007F2BDF">
      <w:pPr>
        <w:pStyle w:val="ListParagraph"/>
        <w:numPr>
          <w:ilvl w:val="0"/>
          <w:numId w:val="43"/>
        </w:numPr>
        <w:rPr>
          <w:rFonts w:eastAsia="Arial"/>
          <w:sz w:val="22"/>
          <w:szCs w:val="22"/>
        </w:rPr>
      </w:pPr>
      <w:r w:rsidRPr="009B612C">
        <w:rPr>
          <w:rFonts w:eastAsia="Arial"/>
          <w:sz w:val="22"/>
          <w:szCs w:val="22"/>
        </w:rPr>
        <w:t>Required Forms and Attachments</w:t>
      </w:r>
    </w:p>
    <w:p w14:paraId="780F1B22" w14:textId="77777777" w:rsidR="00BC10B9" w:rsidRDefault="00BC10B9" w:rsidP="00EB415B">
      <w:pPr>
        <w:rPr>
          <w:rFonts w:eastAsia="Arial"/>
          <w:b/>
          <w:sz w:val="22"/>
          <w:szCs w:val="22"/>
        </w:rPr>
      </w:pPr>
    </w:p>
    <w:p w14:paraId="1D2A7F74" w14:textId="745DD859" w:rsidR="0057371F" w:rsidRPr="000468A1" w:rsidRDefault="00C10D62" w:rsidP="000468A1">
      <w:pPr>
        <w:pStyle w:val="ListParagraph"/>
        <w:numPr>
          <w:ilvl w:val="0"/>
          <w:numId w:val="48"/>
        </w:numPr>
        <w:spacing w:line="276" w:lineRule="auto"/>
        <w:ind w:left="360"/>
        <w:rPr>
          <w:rFonts w:eastAsia="Arial"/>
          <w:b/>
          <w:sz w:val="22"/>
          <w:szCs w:val="22"/>
        </w:rPr>
      </w:pPr>
      <w:r w:rsidRPr="00DB1B19">
        <w:rPr>
          <w:rFonts w:eastAsia="Arial"/>
          <w:b/>
          <w:sz w:val="22"/>
          <w:szCs w:val="22"/>
        </w:rPr>
        <w:t>Excel Budget Workbook (to include cover sheets, itemized budgets, risk assessment) and Budget Narratives</w:t>
      </w:r>
    </w:p>
    <w:p w14:paraId="02683C24" w14:textId="77777777" w:rsidR="0057371F" w:rsidRPr="00D23C9D" w:rsidRDefault="0057371F" w:rsidP="00C10D62">
      <w:pPr>
        <w:ind w:left="720"/>
        <w:rPr>
          <w:rFonts w:eastAsia="Arial"/>
          <w:b/>
          <w:sz w:val="22"/>
          <w:szCs w:val="22"/>
        </w:rPr>
      </w:pPr>
    </w:p>
    <w:p w14:paraId="2697A2B3" w14:textId="77777777" w:rsidR="005D66D9" w:rsidRPr="00AB728E" w:rsidRDefault="005D66D9" w:rsidP="005D66D9">
      <w:pPr>
        <w:pStyle w:val="ListParagraph"/>
        <w:numPr>
          <w:ilvl w:val="0"/>
          <w:numId w:val="28"/>
        </w:numPr>
        <w:pBdr>
          <w:top w:val="nil"/>
          <w:left w:val="nil"/>
          <w:bottom w:val="nil"/>
          <w:right w:val="nil"/>
          <w:between w:val="nil"/>
        </w:pBdr>
        <w:spacing w:after="120"/>
        <w:ind w:left="720"/>
        <w:contextualSpacing w:val="0"/>
        <w:rPr>
          <w:rFonts w:eastAsia="Arial"/>
          <w:b/>
          <w:sz w:val="22"/>
          <w:szCs w:val="22"/>
        </w:rPr>
      </w:pPr>
      <w:r w:rsidRPr="00AB728E">
        <w:rPr>
          <w:rFonts w:eastAsia="Arial"/>
          <w:b/>
          <w:sz w:val="22"/>
          <w:szCs w:val="22"/>
        </w:rPr>
        <w:t>Include all of the following items:</w:t>
      </w:r>
    </w:p>
    <w:p w14:paraId="22497184" w14:textId="780CDB26" w:rsidR="005D66D9" w:rsidRPr="00AB728E" w:rsidRDefault="005D66D9" w:rsidP="005D66D9">
      <w:pPr>
        <w:pBdr>
          <w:top w:val="nil"/>
          <w:left w:val="nil"/>
          <w:bottom w:val="nil"/>
          <w:right w:val="nil"/>
          <w:between w:val="nil"/>
        </w:pBdr>
        <w:spacing w:after="120"/>
        <w:ind w:left="360" w:firstLine="360"/>
        <w:rPr>
          <w:rFonts w:eastAsia="Arial"/>
          <w:b/>
          <w:sz w:val="22"/>
          <w:szCs w:val="22"/>
        </w:rPr>
      </w:pPr>
      <w:r w:rsidRPr="00AB728E">
        <w:rPr>
          <w:rFonts w:eastAsia="Arial"/>
          <w:b/>
          <w:sz w:val="22"/>
          <w:szCs w:val="22"/>
        </w:rPr>
        <w:t>Cover Sheets (Face Sheets) – complete one for each fiscal year (FY</w:t>
      </w:r>
      <w:r w:rsidR="007F2BDF">
        <w:rPr>
          <w:rFonts w:eastAsia="Arial"/>
          <w:b/>
          <w:sz w:val="22"/>
          <w:szCs w:val="22"/>
        </w:rPr>
        <w:t xml:space="preserve"> 20</w:t>
      </w:r>
      <w:r w:rsidRPr="00AB728E">
        <w:rPr>
          <w:rFonts w:eastAsia="Arial"/>
          <w:b/>
          <w:sz w:val="22"/>
          <w:szCs w:val="22"/>
        </w:rPr>
        <w:t>20</w:t>
      </w:r>
      <w:r w:rsidR="00E52B80">
        <w:rPr>
          <w:rFonts w:eastAsia="Arial"/>
          <w:b/>
          <w:sz w:val="22"/>
          <w:szCs w:val="22"/>
        </w:rPr>
        <w:t xml:space="preserve"> and </w:t>
      </w:r>
      <w:r w:rsidR="007F2BDF">
        <w:rPr>
          <w:rFonts w:eastAsia="Arial"/>
          <w:b/>
          <w:sz w:val="22"/>
          <w:szCs w:val="22"/>
        </w:rPr>
        <w:t>FY</w:t>
      </w:r>
      <w:r w:rsidR="00E52B80">
        <w:rPr>
          <w:rFonts w:eastAsia="Arial"/>
          <w:b/>
          <w:sz w:val="22"/>
          <w:szCs w:val="22"/>
        </w:rPr>
        <w:t xml:space="preserve"> </w:t>
      </w:r>
      <w:r w:rsidR="007F2BDF">
        <w:rPr>
          <w:rFonts w:eastAsia="Arial"/>
          <w:b/>
          <w:sz w:val="22"/>
          <w:szCs w:val="22"/>
        </w:rPr>
        <w:t>20</w:t>
      </w:r>
      <w:r w:rsidRPr="00AB728E">
        <w:rPr>
          <w:rFonts w:eastAsia="Arial"/>
          <w:b/>
          <w:sz w:val="22"/>
          <w:szCs w:val="22"/>
        </w:rPr>
        <w:t>21)</w:t>
      </w:r>
    </w:p>
    <w:p w14:paraId="7694892D" w14:textId="77777777" w:rsidR="005D66D9" w:rsidRPr="00AB728E" w:rsidRDefault="005D66D9" w:rsidP="005D66D9">
      <w:pPr>
        <w:spacing w:after="120"/>
        <w:ind w:left="990" w:hanging="270"/>
        <w:rPr>
          <w:rFonts w:eastAsia="Arial"/>
          <w:sz w:val="22"/>
          <w:szCs w:val="22"/>
        </w:rPr>
      </w:pPr>
      <w:r w:rsidRPr="00AB728E">
        <w:rPr>
          <w:rFonts w:eastAsia="Arial"/>
          <w:b/>
          <w:sz w:val="22"/>
          <w:szCs w:val="22"/>
        </w:rPr>
        <w:t>Grant Program:</w:t>
      </w:r>
      <w:r w:rsidRPr="00AB728E">
        <w:rPr>
          <w:rFonts w:eastAsia="Arial"/>
          <w:sz w:val="22"/>
          <w:szCs w:val="22"/>
        </w:rPr>
        <w:t xml:space="preserve"> List the grant program.</w:t>
      </w:r>
    </w:p>
    <w:p w14:paraId="3B5F7457" w14:textId="77777777" w:rsidR="005D66D9" w:rsidRPr="00AB728E" w:rsidRDefault="005D66D9" w:rsidP="005D66D9">
      <w:pPr>
        <w:spacing w:after="120"/>
        <w:ind w:left="990" w:hanging="270"/>
        <w:rPr>
          <w:rFonts w:eastAsia="Arial"/>
          <w:sz w:val="22"/>
          <w:szCs w:val="22"/>
        </w:rPr>
      </w:pPr>
      <w:r w:rsidRPr="00AB728E">
        <w:rPr>
          <w:rFonts w:eastAsia="Arial"/>
          <w:b/>
          <w:sz w:val="22"/>
          <w:szCs w:val="22"/>
        </w:rPr>
        <w:t>Congressional Districts</w:t>
      </w:r>
      <w:r w:rsidRPr="00AB728E">
        <w:rPr>
          <w:rFonts w:eastAsia="Arial"/>
          <w:sz w:val="22"/>
          <w:szCs w:val="22"/>
        </w:rPr>
        <w:t>: List the congressional districts that will benefit from the program.</w:t>
      </w:r>
    </w:p>
    <w:p w14:paraId="57FF0426" w14:textId="3E06C0C5" w:rsidR="005D66D9" w:rsidRPr="00AB728E" w:rsidRDefault="005D66D9" w:rsidP="005D66D9">
      <w:pPr>
        <w:spacing w:after="120"/>
        <w:ind w:left="990" w:hanging="270"/>
        <w:rPr>
          <w:rFonts w:eastAsia="Arial"/>
          <w:sz w:val="22"/>
          <w:szCs w:val="22"/>
        </w:rPr>
      </w:pPr>
      <w:r w:rsidRPr="00AB728E">
        <w:rPr>
          <w:rFonts w:eastAsia="Arial"/>
          <w:b/>
          <w:sz w:val="22"/>
          <w:szCs w:val="22"/>
        </w:rPr>
        <w:t>Applicant:</w:t>
      </w:r>
      <w:r w:rsidRPr="00AB728E">
        <w:rPr>
          <w:rFonts w:eastAsia="Arial"/>
          <w:sz w:val="22"/>
          <w:szCs w:val="22"/>
        </w:rPr>
        <w:t xml:space="preserve"> Official name of </w:t>
      </w:r>
      <w:r w:rsidR="007A79D5">
        <w:rPr>
          <w:rFonts w:eastAsia="Arial"/>
          <w:sz w:val="22"/>
          <w:szCs w:val="22"/>
        </w:rPr>
        <w:t>organization/agency</w:t>
      </w:r>
      <w:r w:rsidR="007A79D5" w:rsidRPr="00AB728E">
        <w:rPr>
          <w:rFonts w:eastAsia="Arial"/>
          <w:sz w:val="22"/>
          <w:szCs w:val="22"/>
        </w:rPr>
        <w:t xml:space="preserve"> </w:t>
      </w:r>
      <w:r w:rsidRPr="00AB728E">
        <w:rPr>
          <w:rFonts w:eastAsia="Arial"/>
          <w:sz w:val="22"/>
          <w:szCs w:val="22"/>
        </w:rPr>
        <w:t>applying for the grant.</w:t>
      </w:r>
    </w:p>
    <w:p w14:paraId="6D4EF7C6" w14:textId="253E4AF7" w:rsidR="005D66D9" w:rsidRPr="00AB728E" w:rsidRDefault="005D66D9" w:rsidP="005D66D9">
      <w:pPr>
        <w:spacing w:after="120"/>
        <w:ind w:left="990" w:hanging="270"/>
        <w:rPr>
          <w:rFonts w:eastAsia="Arial"/>
          <w:sz w:val="22"/>
          <w:szCs w:val="22"/>
        </w:rPr>
      </w:pPr>
      <w:r w:rsidRPr="00AB728E">
        <w:rPr>
          <w:rFonts w:eastAsia="Arial"/>
          <w:b/>
          <w:sz w:val="22"/>
          <w:szCs w:val="22"/>
        </w:rPr>
        <w:t>Faith-Based Organization</w:t>
      </w:r>
      <w:r w:rsidRPr="00AB728E">
        <w:rPr>
          <w:rFonts w:eastAsia="Arial"/>
          <w:sz w:val="22"/>
          <w:szCs w:val="22"/>
        </w:rPr>
        <w:t xml:space="preserve">: </w:t>
      </w:r>
      <w:r w:rsidR="006F2E69">
        <w:rPr>
          <w:rFonts w:eastAsia="Arial"/>
          <w:sz w:val="22"/>
          <w:szCs w:val="22"/>
        </w:rPr>
        <w:t>Not applicable to this grant program.</w:t>
      </w:r>
    </w:p>
    <w:p w14:paraId="09845C32" w14:textId="2FE9A8B7" w:rsidR="005D66D9" w:rsidRPr="00AB728E" w:rsidRDefault="005D66D9" w:rsidP="005D66D9">
      <w:pPr>
        <w:spacing w:after="120"/>
        <w:ind w:left="990" w:hanging="270"/>
        <w:rPr>
          <w:rFonts w:eastAsia="Arial"/>
          <w:sz w:val="22"/>
          <w:szCs w:val="22"/>
        </w:rPr>
      </w:pPr>
      <w:r w:rsidRPr="00AB728E">
        <w:rPr>
          <w:rFonts w:eastAsia="Arial"/>
          <w:b/>
          <w:sz w:val="22"/>
          <w:szCs w:val="22"/>
        </w:rPr>
        <w:t>Federal ID Number</w:t>
      </w:r>
      <w:r w:rsidRPr="00AB728E">
        <w:rPr>
          <w:rFonts w:eastAsia="Arial"/>
          <w:sz w:val="22"/>
          <w:szCs w:val="22"/>
        </w:rPr>
        <w:t>: List your agency federal identification number.</w:t>
      </w:r>
    </w:p>
    <w:p w14:paraId="35D1A7FB" w14:textId="77777777" w:rsidR="005D66D9" w:rsidRPr="00AB728E" w:rsidRDefault="005D66D9" w:rsidP="005D66D9">
      <w:pPr>
        <w:spacing w:after="120"/>
        <w:ind w:left="990" w:hanging="270"/>
        <w:rPr>
          <w:rFonts w:eastAsia="Arial"/>
          <w:sz w:val="22"/>
          <w:szCs w:val="22"/>
        </w:rPr>
      </w:pPr>
      <w:r w:rsidRPr="00AB728E">
        <w:rPr>
          <w:rFonts w:eastAsia="Arial"/>
          <w:b/>
          <w:sz w:val="22"/>
          <w:szCs w:val="22"/>
        </w:rPr>
        <w:t>Best Practice</w:t>
      </w:r>
      <w:r w:rsidRPr="00AB728E">
        <w:rPr>
          <w:rFonts w:eastAsia="Arial"/>
          <w:sz w:val="22"/>
          <w:szCs w:val="22"/>
        </w:rPr>
        <w:t>: Not applicable to this grant program.</w:t>
      </w:r>
    </w:p>
    <w:p w14:paraId="47261C67" w14:textId="59293AA0" w:rsidR="005D66D9" w:rsidRPr="00AB728E" w:rsidRDefault="005D66D9" w:rsidP="005D66D9">
      <w:pPr>
        <w:spacing w:after="120"/>
        <w:ind w:left="990" w:hanging="270"/>
        <w:rPr>
          <w:rFonts w:eastAsia="Arial"/>
          <w:sz w:val="22"/>
          <w:szCs w:val="22"/>
        </w:rPr>
      </w:pPr>
      <w:r w:rsidRPr="00AB728E">
        <w:rPr>
          <w:rFonts w:eastAsia="Arial"/>
          <w:b/>
          <w:sz w:val="22"/>
          <w:szCs w:val="22"/>
        </w:rPr>
        <w:t>Jurisdiction(s):</w:t>
      </w:r>
      <w:r w:rsidRPr="00AB728E">
        <w:rPr>
          <w:rFonts w:eastAsia="Arial"/>
          <w:sz w:val="22"/>
          <w:szCs w:val="22"/>
        </w:rPr>
        <w:t xml:space="preserve"> List all localities to be served and include zip code plus 4 digit code; or if appropriate, indicate </w:t>
      </w:r>
      <w:r w:rsidR="00A8140A">
        <w:rPr>
          <w:rFonts w:eastAsia="Arial"/>
          <w:sz w:val="22"/>
          <w:szCs w:val="22"/>
        </w:rPr>
        <w:t>“</w:t>
      </w:r>
      <w:r w:rsidRPr="00AB728E">
        <w:rPr>
          <w:rFonts w:eastAsia="Arial"/>
          <w:sz w:val="22"/>
          <w:szCs w:val="22"/>
        </w:rPr>
        <w:t>statewide.</w:t>
      </w:r>
      <w:r w:rsidR="00A8140A">
        <w:rPr>
          <w:rFonts w:eastAsia="Arial"/>
          <w:sz w:val="22"/>
          <w:szCs w:val="22"/>
        </w:rPr>
        <w:t>”</w:t>
      </w:r>
    </w:p>
    <w:p w14:paraId="1C1C7B8E" w14:textId="5ACD8DCF" w:rsidR="005D66D9" w:rsidRPr="00AB728E" w:rsidRDefault="005D66D9" w:rsidP="005D66D9">
      <w:pPr>
        <w:spacing w:after="120"/>
        <w:ind w:left="990" w:hanging="270"/>
        <w:rPr>
          <w:rFonts w:eastAsia="Arial"/>
          <w:sz w:val="22"/>
          <w:szCs w:val="22"/>
        </w:rPr>
      </w:pPr>
      <w:r w:rsidRPr="00AB728E">
        <w:rPr>
          <w:rFonts w:eastAsia="Arial"/>
          <w:b/>
          <w:sz w:val="22"/>
          <w:szCs w:val="22"/>
        </w:rPr>
        <w:t>Program Title:</w:t>
      </w:r>
      <w:r w:rsidRPr="00AB728E">
        <w:rPr>
          <w:rFonts w:eastAsia="Arial"/>
          <w:sz w:val="22"/>
          <w:szCs w:val="22"/>
        </w:rPr>
        <w:t xml:space="preserve"> Indicate program title, i.e. </w:t>
      </w:r>
      <w:r w:rsidR="00A8140A">
        <w:rPr>
          <w:rFonts w:eastAsia="Arial"/>
          <w:sz w:val="22"/>
          <w:szCs w:val="22"/>
        </w:rPr>
        <w:t>“</w:t>
      </w:r>
      <w:r w:rsidRPr="00AB728E">
        <w:rPr>
          <w:rFonts w:eastAsia="Arial"/>
          <w:sz w:val="22"/>
          <w:szCs w:val="22"/>
        </w:rPr>
        <w:t>First County Victim Outreach Program.</w:t>
      </w:r>
      <w:r w:rsidR="00A8140A">
        <w:rPr>
          <w:rFonts w:eastAsia="Arial"/>
          <w:sz w:val="22"/>
          <w:szCs w:val="22"/>
        </w:rPr>
        <w:t>”</w:t>
      </w:r>
    </w:p>
    <w:p w14:paraId="699F4F09" w14:textId="77777777" w:rsidR="006746BE" w:rsidRDefault="005D66D9" w:rsidP="005D66D9">
      <w:pPr>
        <w:spacing w:after="120"/>
        <w:ind w:left="990" w:hanging="270"/>
        <w:rPr>
          <w:rFonts w:eastAsia="Arial"/>
          <w:b/>
          <w:sz w:val="22"/>
          <w:szCs w:val="22"/>
        </w:rPr>
      </w:pPr>
      <w:r w:rsidRPr="00AB728E">
        <w:rPr>
          <w:rFonts w:eastAsia="Arial"/>
          <w:b/>
          <w:sz w:val="22"/>
          <w:szCs w:val="22"/>
        </w:rPr>
        <w:t>Certified Crime Prevention Community</w:t>
      </w:r>
      <w:r w:rsidRPr="00AB728E">
        <w:rPr>
          <w:rFonts w:eastAsia="Arial"/>
          <w:sz w:val="22"/>
          <w:szCs w:val="22"/>
        </w:rPr>
        <w:t xml:space="preserve">: </w:t>
      </w:r>
      <w:r w:rsidR="006746BE">
        <w:rPr>
          <w:rFonts w:eastAsia="Arial"/>
          <w:sz w:val="22"/>
          <w:szCs w:val="22"/>
        </w:rPr>
        <w:t>Not applicable to this grant program</w:t>
      </w:r>
      <w:r w:rsidR="006746BE" w:rsidRPr="00AB728E">
        <w:rPr>
          <w:rFonts w:eastAsia="Arial"/>
          <w:b/>
          <w:sz w:val="22"/>
          <w:szCs w:val="22"/>
        </w:rPr>
        <w:t xml:space="preserve"> </w:t>
      </w:r>
    </w:p>
    <w:p w14:paraId="70C766EB" w14:textId="19E7B88A" w:rsidR="005D66D9" w:rsidRPr="00AB728E" w:rsidRDefault="005D66D9" w:rsidP="005D66D9">
      <w:pPr>
        <w:spacing w:after="120"/>
        <w:ind w:left="990" w:hanging="270"/>
        <w:rPr>
          <w:rFonts w:eastAsia="Arial"/>
          <w:sz w:val="22"/>
          <w:szCs w:val="22"/>
        </w:rPr>
      </w:pPr>
      <w:r w:rsidRPr="00AB728E">
        <w:rPr>
          <w:rFonts w:eastAsia="Arial"/>
          <w:b/>
          <w:sz w:val="22"/>
          <w:szCs w:val="22"/>
        </w:rPr>
        <w:t>Grant Period:</w:t>
      </w:r>
      <w:r w:rsidRPr="00AB728E">
        <w:rPr>
          <w:rFonts w:eastAsia="Arial"/>
          <w:sz w:val="22"/>
          <w:szCs w:val="22"/>
        </w:rPr>
        <w:t xml:space="preserve"> Select FY</w:t>
      </w:r>
      <w:r w:rsidR="00E52B80">
        <w:rPr>
          <w:rFonts w:eastAsia="Arial"/>
          <w:sz w:val="22"/>
          <w:szCs w:val="22"/>
        </w:rPr>
        <w:t xml:space="preserve"> 20</w:t>
      </w:r>
      <w:r w:rsidRPr="00AB728E">
        <w:rPr>
          <w:rFonts w:eastAsia="Arial"/>
          <w:sz w:val="22"/>
          <w:szCs w:val="22"/>
        </w:rPr>
        <w:t>20</w:t>
      </w:r>
      <w:r w:rsidR="006F2E69">
        <w:rPr>
          <w:rFonts w:eastAsia="Arial"/>
          <w:sz w:val="22"/>
          <w:szCs w:val="22"/>
        </w:rPr>
        <w:t xml:space="preserve"> (7/1/19-6/30/20)</w:t>
      </w:r>
      <w:r w:rsidRPr="00AB728E">
        <w:rPr>
          <w:rFonts w:eastAsia="Arial"/>
          <w:sz w:val="22"/>
          <w:szCs w:val="22"/>
        </w:rPr>
        <w:t xml:space="preserve">. </w:t>
      </w:r>
    </w:p>
    <w:p w14:paraId="2CC44294" w14:textId="77777777" w:rsidR="005D66D9" w:rsidRPr="00AB728E" w:rsidRDefault="005D66D9" w:rsidP="005D66D9">
      <w:pPr>
        <w:spacing w:after="120"/>
        <w:ind w:left="990" w:hanging="270"/>
        <w:rPr>
          <w:rFonts w:eastAsia="Arial"/>
          <w:sz w:val="22"/>
          <w:szCs w:val="22"/>
        </w:rPr>
      </w:pPr>
      <w:r w:rsidRPr="00AB728E">
        <w:rPr>
          <w:rFonts w:eastAsia="Arial"/>
          <w:b/>
          <w:sz w:val="22"/>
          <w:szCs w:val="22"/>
        </w:rPr>
        <w:t>DUNS Number</w:t>
      </w:r>
      <w:r w:rsidRPr="00AB728E">
        <w:rPr>
          <w:rFonts w:eastAsia="Arial"/>
          <w:sz w:val="22"/>
          <w:szCs w:val="22"/>
        </w:rPr>
        <w:t xml:space="preserve">: Provide the Data Universal Numbering (DUNS) Number. A DUNS number is a unique nine-character identification number provided by Dun &amp; Bradstreet. If you do not have a DUNS number, please go the website </w:t>
      </w:r>
      <w:hyperlink r:id="rId24">
        <w:r w:rsidRPr="00AB728E">
          <w:rPr>
            <w:rFonts w:eastAsia="Arial"/>
            <w:color w:val="0000FF"/>
            <w:sz w:val="22"/>
            <w:szCs w:val="22"/>
            <w:u w:val="single"/>
          </w:rPr>
          <w:t>http://fedgov.dnb.com/webform</w:t>
        </w:r>
      </w:hyperlink>
      <w:r w:rsidRPr="00AB728E">
        <w:rPr>
          <w:rFonts w:eastAsia="Arial"/>
          <w:sz w:val="22"/>
          <w:szCs w:val="22"/>
        </w:rPr>
        <w:t>.</w:t>
      </w:r>
    </w:p>
    <w:p w14:paraId="6FFC0889" w14:textId="3EFAAC8D" w:rsidR="005D66D9" w:rsidRPr="00AB728E" w:rsidRDefault="005D66D9" w:rsidP="005D66D9">
      <w:pPr>
        <w:spacing w:after="120"/>
        <w:ind w:left="990" w:hanging="270"/>
        <w:rPr>
          <w:rFonts w:eastAsia="Arial"/>
          <w:sz w:val="22"/>
          <w:szCs w:val="22"/>
        </w:rPr>
      </w:pPr>
      <w:r w:rsidRPr="00AB728E">
        <w:rPr>
          <w:rFonts w:eastAsia="Arial"/>
          <w:b/>
          <w:sz w:val="22"/>
          <w:szCs w:val="22"/>
        </w:rPr>
        <w:t xml:space="preserve">Type of Application: </w:t>
      </w:r>
      <w:r w:rsidRPr="00AB728E">
        <w:rPr>
          <w:rFonts w:eastAsia="Arial"/>
          <w:sz w:val="22"/>
          <w:szCs w:val="22"/>
        </w:rPr>
        <w:t>Check the box that best describes the applicant service area.</w:t>
      </w:r>
    </w:p>
    <w:p w14:paraId="32E05141" w14:textId="77777777" w:rsidR="005D66D9" w:rsidRPr="00AB728E" w:rsidRDefault="005D66D9" w:rsidP="005D66D9">
      <w:pPr>
        <w:spacing w:after="120"/>
        <w:ind w:left="990" w:hanging="270"/>
        <w:rPr>
          <w:rFonts w:eastAsia="Arial"/>
          <w:sz w:val="22"/>
          <w:szCs w:val="22"/>
        </w:rPr>
      </w:pPr>
      <w:r w:rsidRPr="00AB728E">
        <w:rPr>
          <w:rFonts w:eastAsia="Arial"/>
          <w:b/>
          <w:sz w:val="22"/>
          <w:szCs w:val="22"/>
        </w:rPr>
        <w:t>Project Director:</w:t>
      </w:r>
      <w:r w:rsidRPr="00AB728E">
        <w:rPr>
          <w:rFonts w:eastAsia="Arial"/>
          <w:sz w:val="22"/>
          <w:szCs w:val="22"/>
        </w:rPr>
        <w:t xml:space="preserve"> List the person who will have day-to-day responsibility for managing the project. </w:t>
      </w:r>
    </w:p>
    <w:p w14:paraId="6299F89D" w14:textId="2552A77A" w:rsidR="005D66D9" w:rsidRPr="00AB728E" w:rsidRDefault="005D66D9" w:rsidP="005D66D9">
      <w:pPr>
        <w:spacing w:after="120"/>
        <w:ind w:left="990" w:hanging="270"/>
        <w:rPr>
          <w:rFonts w:eastAsia="Arial"/>
          <w:sz w:val="22"/>
          <w:szCs w:val="22"/>
        </w:rPr>
      </w:pPr>
      <w:r w:rsidRPr="00AB728E">
        <w:rPr>
          <w:rFonts w:eastAsia="Arial"/>
          <w:b/>
          <w:sz w:val="22"/>
          <w:szCs w:val="22"/>
        </w:rPr>
        <w:t>Project Administrator:</w:t>
      </w:r>
      <w:r w:rsidRPr="00AB728E">
        <w:rPr>
          <w:rFonts w:eastAsia="Arial"/>
          <w:sz w:val="22"/>
          <w:szCs w:val="22"/>
        </w:rPr>
        <w:t xml:space="preserve"> The person who has authority to formally commit the organization, or state agency to complying with all the terms of the grant application, including the provision of the required match. </w:t>
      </w:r>
    </w:p>
    <w:p w14:paraId="7D225539" w14:textId="1BA95F3C" w:rsidR="005D66D9" w:rsidRPr="00AB728E" w:rsidRDefault="005D66D9" w:rsidP="007F2BDF">
      <w:pPr>
        <w:spacing w:after="120"/>
        <w:ind w:left="990" w:hanging="270"/>
        <w:rPr>
          <w:rFonts w:eastAsia="Arial"/>
          <w:i/>
          <w:sz w:val="22"/>
          <w:szCs w:val="22"/>
        </w:rPr>
      </w:pPr>
      <w:r w:rsidRPr="00AB728E">
        <w:rPr>
          <w:rFonts w:eastAsia="Arial"/>
          <w:b/>
          <w:sz w:val="22"/>
          <w:szCs w:val="22"/>
        </w:rPr>
        <w:t>Finance Director:</w:t>
      </w:r>
      <w:r w:rsidRPr="00AB728E">
        <w:rPr>
          <w:rFonts w:eastAsia="Arial"/>
          <w:sz w:val="22"/>
          <w:szCs w:val="22"/>
        </w:rPr>
        <w:t xml:space="preserve"> List the individual who will be responsible for fiscal management of the funds. </w:t>
      </w:r>
      <w:r w:rsidRPr="00AB728E">
        <w:rPr>
          <w:rFonts w:eastAsia="Arial"/>
          <w:i/>
          <w:sz w:val="22"/>
          <w:szCs w:val="22"/>
        </w:rPr>
        <w:t>Be sure to provide email addresses and phone numbers for each of the three people listed above. Also provide the zip code plus 4 digit code for each person.</w:t>
      </w:r>
    </w:p>
    <w:p w14:paraId="292C71D5" w14:textId="77777777" w:rsidR="005D66D9" w:rsidRPr="00AB728E" w:rsidRDefault="005D66D9" w:rsidP="005D66D9">
      <w:pPr>
        <w:spacing w:after="120"/>
        <w:ind w:left="990" w:hanging="270"/>
        <w:rPr>
          <w:rFonts w:eastAsia="Arial"/>
          <w:sz w:val="22"/>
          <w:szCs w:val="22"/>
        </w:rPr>
      </w:pPr>
      <w:r w:rsidRPr="00AB728E">
        <w:rPr>
          <w:rFonts w:eastAsia="Arial"/>
          <w:b/>
          <w:sz w:val="22"/>
          <w:szCs w:val="22"/>
        </w:rPr>
        <w:t>Brief Project Description:</w:t>
      </w:r>
      <w:r w:rsidRPr="00AB728E">
        <w:rPr>
          <w:rFonts w:eastAsia="Arial"/>
          <w:sz w:val="22"/>
          <w:szCs w:val="22"/>
        </w:rPr>
        <w:t xml:space="preserve"> Provide a short description of the project. The description </w:t>
      </w:r>
      <w:r w:rsidRPr="00AB728E">
        <w:rPr>
          <w:rFonts w:eastAsia="Arial"/>
          <w:b/>
          <w:sz w:val="22"/>
          <w:szCs w:val="22"/>
        </w:rPr>
        <w:t>must include an estimate of the total number of victims</w:t>
      </w:r>
      <w:r w:rsidRPr="00AB728E">
        <w:rPr>
          <w:rFonts w:eastAsia="Arial"/>
          <w:sz w:val="22"/>
          <w:szCs w:val="22"/>
        </w:rPr>
        <w:t xml:space="preserve"> to receive program services during the fiscal year and a brief summary of services to be provided.</w:t>
      </w:r>
    </w:p>
    <w:p w14:paraId="2917B140" w14:textId="77777777" w:rsidR="005D66D9" w:rsidRPr="00AB728E" w:rsidRDefault="005D66D9" w:rsidP="00E52B80">
      <w:pPr>
        <w:pBdr>
          <w:top w:val="nil"/>
          <w:left w:val="nil"/>
          <w:bottom w:val="nil"/>
          <w:right w:val="nil"/>
          <w:between w:val="nil"/>
        </w:pBdr>
        <w:ind w:left="994" w:hanging="274"/>
        <w:rPr>
          <w:rFonts w:eastAsia="Arial"/>
          <w:i/>
          <w:sz w:val="22"/>
          <w:szCs w:val="22"/>
        </w:rPr>
      </w:pPr>
      <w:r w:rsidRPr="00AB728E">
        <w:rPr>
          <w:rFonts w:eastAsia="Arial"/>
          <w:b/>
          <w:sz w:val="22"/>
          <w:szCs w:val="22"/>
        </w:rPr>
        <w:t xml:space="preserve">Project Budget Summary: </w:t>
      </w:r>
      <w:r w:rsidRPr="00AB728E">
        <w:rPr>
          <w:rFonts w:eastAsia="Arial"/>
          <w:sz w:val="22"/>
          <w:szCs w:val="22"/>
        </w:rPr>
        <w:t>The Budget Summary provides total figures from budget categories. No data entry is necessary here. These figures are automatically calculated by Excel, based on entries in the Budget Itemization Worksheet.</w:t>
      </w:r>
    </w:p>
    <w:p w14:paraId="0442644B" w14:textId="48D82D82" w:rsidR="002246AB" w:rsidRDefault="002246AB" w:rsidP="00EB415B">
      <w:pPr>
        <w:rPr>
          <w:rFonts w:eastAsia="Arial"/>
          <w:color w:val="000000"/>
          <w:sz w:val="24"/>
          <w:szCs w:val="24"/>
        </w:rPr>
      </w:pPr>
    </w:p>
    <w:p w14:paraId="52096926" w14:textId="751A6AB8" w:rsidR="00BC10B9" w:rsidRPr="001363DD" w:rsidRDefault="00343567" w:rsidP="00E52B80">
      <w:pPr>
        <w:pStyle w:val="ListParagraph"/>
        <w:numPr>
          <w:ilvl w:val="0"/>
          <w:numId w:val="28"/>
        </w:numPr>
        <w:pBdr>
          <w:top w:val="nil"/>
          <w:left w:val="nil"/>
          <w:bottom w:val="nil"/>
          <w:right w:val="nil"/>
          <w:between w:val="nil"/>
        </w:pBdr>
        <w:spacing w:before="120"/>
        <w:ind w:left="720"/>
        <w:rPr>
          <w:rFonts w:eastAsia="Arial"/>
          <w:b/>
          <w:sz w:val="22"/>
          <w:szCs w:val="22"/>
        </w:rPr>
      </w:pPr>
      <w:r w:rsidRPr="001363DD">
        <w:rPr>
          <w:rFonts w:eastAsia="Arial"/>
          <w:b/>
          <w:sz w:val="22"/>
          <w:szCs w:val="22"/>
        </w:rPr>
        <w:lastRenderedPageBreak/>
        <w:t>Itemized Budget</w:t>
      </w:r>
      <w:r w:rsidR="002246AB">
        <w:rPr>
          <w:rFonts w:eastAsia="Arial"/>
          <w:b/>
          <w:sz w:val="22"/>
          <w:szCs w:val="22"/>
        </w:rPr>
        <w:t xml:space="preserve"> Worksheets</w:t>
      </w:r>
      <w:r w:rsidRPr="001363DD">
        <w:rPr>
          <w:rFonts w:eastAsia="Arial"/>
          <w:b/>
          <w:sz w:val="22"/>
          <w:szCs w:val="22"/>
        </w:rPr>
        <w:t xml:space="preserve"> </w:t>
      </w:r>
      <w:r w:rsidR="002246AB">
        <w:rPr>
          <w:rFonts w:eastAsia="Arial"/>
          <w:b/>
          <w:sz w:val="22"/>
          <w:szCs w:val="22"/>
        </w:rPr>
        <w:t xml:space="preserve">– complete one for each fiscal </w:t>
      </w:r>
      <w:r w:rsidR="002E038D">
        <w:rPr>
          <w:rFonts w:eastAsia="Arial"/>
          <w:b/>
          <w:sz w:val="22"/>
          <w:szCs w:val="22"/>
        </w:rPr>
        <w:t>year</w:t>
      </w:r>
      <w:r w:rsidR="00E52B80">
        <w:rPr>
          <w:rFonts w:eastAsia="Arial"/>
          <w:b/>
          <w:sz w:val="22"/>
          <w:szCs w:val="22"/>
        </w:rPr>
        <w:t xml:space="preserve"> </w:t>
      </w:r>
      <w:r w:rsidR="00E52B80" w:rsidRPr="00AB728E">
        <w:rPr>
          <w:rFonts w:eastAsia="Arial"/>
          <w:b/>
          <w:sz w:val="22"/>
          <w:szCs w:val="22"/>
        </w:rPr>
        <w:t>(FY</w:t>
      </w:r>
      <w:r w:rsidR="00E52B80">
        <w:rPr>
          <w:rFonts w:eastAsia="Arial"/>
          <w:b/>
          <w:sz w:val="22"/>
          <w:szCs w:val="22"/>
        </w:rPr>
        <w:t xml:space="preserve"> 20</w:t>
      </w:r>
      <w:r w:rsidR="00E52B80" w:rsidRPr="00AB728E">
        <w:rPr>
          <w:rFonts w:eastAsia="Arial"/>
          <w:b/>
          <w:sz w:val="22"/>
          <w:szCs w:val="22"/>
        </w:rPr>
        <w:t>20</w:t>
      </w:r>
      <w:r w:rsidR="00E52B80">
        <w:rPr>
          <w:rFonts w:eastAsia="Arial"/>
          <w:b/>
          <w:sz w:val="22"/>
          <w:szCs w:val="22"/>
        </w:rPr>
        <w:t xml:space="preserve"> and FY 20</w:t>
      </w:r>
      <w:r w:rsidR="00E52B80" w:rsidRPr="00AB728E">
        <w:rPr>
          <w:rFonts w:eastAsia="Arial"/>
          <w:b/>
          <w:sz w:val="22"/>
          <w:szCs w:val="22"/>
        </w:rPr>
        <w:t>21)</w:t>
      </w:r>
    </w:p>
    <w:p w14:paraId="4E13C52C" w14:textId="77777777" w:rsidR="002246AB" w:rsidRDefault="002246AB" w:rsidP="00EB415B">
      <w:pPr>
        <w:rPr>
          <w:rFonts w:eastAsia="Arial"/>
          <w:sz w:val="22"/>
          <w:szCs w:val="22"/>
        </w:rPr>
      </w:pPr>
    </w:p>
    <w:p w14:paraId="6780182D" w14:textId="177EE5BE" w:rsidR="00BC10B9" w:rsidRPr="002246AB" w:rsidRDefault="002E038D" w:rsidP="002E038D">
      <w:pPr>
        <w:ind w:left="720"/>
        <w:rPr>
          <w:rFonts w:eastAsia="Arial"/>
          <w:sz w:val="22"/>
          <w:szCs w:val="22"/>
        </w:rPr>
      </w:pPr>
      <w:r>
        <w:rPr>
          <w:rFonts w:eastAsia="Arial"/>
          <w:sz w:val="22"/>
          <w:szCs w:val="22"/>
        </w:rPr>
        <w:t>An i</w:t>
      </w:r>
      <w:r w:rsidR="00056FB5" w:rsidRPr="002246AB">
        <w:rPr>
          <w:rFonts w:eastAsia="Arial"/>
          <w:sz w:val="22"/>
          <w:szCs w:val="22"/>
        </w:rPr>
        <w:t xml:space="preserve">temized </w:t>
      </w:r>
      <w:r w:rsidR="00343567" w:rsidRPr="002246AB">
        <w:rPr>
          <w:rFonts w:eastAsia="Arial"/>
          <w:sz w:val="22"/>
          <w:szCs w:val="22"/>
        </w:rPr>
        <w:t xml:space="preserve">budget should be </w:t>
      </w:r>
      <w:r>
        <w:rPr>
          <w:rFonts w:eastAsia="Arial"/>
          <w:sz w:val="22"/>
          <w:szCs w:val="22"/>
        </w:rPr>
        <w:t>complet</w:t>
      </w:r>
      <w:r w:rsidR="00343567" w:rsidRPr="002246AB">
        <w:rPr>
          <w:rFonts w:eastAsia="Arial"/>
          <w:sz w:val="22"/>
          <w:szCs w:val="22"/>
        </w:rPr>
        <w:t xml:space="preserve">ed for </w:t>
      </w:r>
      <w:r w:rsidR="00056FB5" w:rsidRPr="002246AB">
        <w:rPr>
          <w:rFonts w:eastAsia="Arial"/>
          <w:sz w:val="22"/>
          <w:szCs w:val="22"/>
        </w:rPr>
        <w:t>each fiscal year (fiscal y</w:t>
      </w:r>
      <w:r w:rsidR="00343567" w:rsidRPr="002246AB">
        <w:rPr>
          <w:rFonts w:eastAsia="Arial"/>
          <w:sz w:val="22"/>
          <w:szCs w:val="22"/>
        </w:rPr>
        <w:t>ears 2020</w:t>
      </w:r>
      <w:r w:rsidR="00C528AC">
        <w:rPr>
          <w:rFonts w:eastAsia="Arial"/>
          <w:sz w:val="22"/>
          <w:szCs w:val="22"/>
        </w:rPr>
        <w:t xml:space="preserve"> and</w:t>
      </w:r>
      <w:r w:rsidR="00343567" w:rsidRPr="002246AB">
        <w:rPr>
          <w:rFonts w:eastAsia="Arial"/>
          <w:sz w:val="22"/>
          <w:szCs w:val="22"/>
        </w:rPr>
        <w:t xml:space="preserve"> 2021</w:t>
      </w:r>
      <w:r w:rsidR="00056FB5" w:rsidRPr="002246AB">
        <w:rPr>
          <w:rFonts w:eastAsia="Arial"/>
          <w:sz w:val="22"/>
          <w:szCs w:val="22"/>
        </w:rPr>
        <w:t>).</w:t>
      </w:r>
      <w:r w:rsidR="002246AB">
        <w:rPr>
          <w:rFonts w:eastAsia="Arial"/>
          <w:sz w:val="22"/>
          <w:szCs w:val="22"/>
        </w:rPr>
        <w:t xml:space="preserve"> </w:t>
      </w:r>
      <w:r w:rsidR="002246AB" w:rsidRPr="001363DD">
        <w:rPr>
          <w:rFonts w:eastAsia="Arial"/>
          <w:sz w:val="22"/>
          <w:szCs w:val="22"/>
        </w:rPr>
        <w:t xml:space="preserve">Use of the Excel Budget Workbook </w:t>
      </w:r>
      <w:r>
        <w:rPr>
          <w:rFonts w:eastAsia="Arial"/>
          <w:sz w:val="22"/>
          <w:szCs w:val="22"/>
        </w:rPr>
        <w:t>is</w:t>
      </w:r>
      <w:r w:rsidR="002246AB" w:rsidRPr="001363DD">
        <w:rPr>
          <w:rFonts w:eastAsia="Arial"/>
          <w:sz w:val="22"/>
          <w:szCs w:val="22"/>
        </w:rPr>
        <w:t xml:space="preserve"> required.</w:t>
      </w:r>
      <w:r>
        <w:rPr>
          <w:rFonts w:eastAsia="Arial"/>
          <w:sz w:val="22"/>
          <w:szCs w:val="22"/>
        </w:rPr>
        <w:t xml:space="preserve"> See the following sections for detailed descriptions of each budget category.</w:t>
      </w:r>
    </w:p>
    <w:p w14:paraId="382C6578" w14:textId="77777777" w:rsidR="00BC10B9" w:rsidRPr="001363DD" w:rsidRDefault="00BC10B9" w:rsidP="002246AB">
      <w:pPr>
        <w:ind w:left="720"/>
        <w:rPr>
          <w:rFonts w:eastAsia="Arial"/>
          <w:sz w:val="22"/>
          <w:szCs w:val="22"/>
        </w:rPr>
      </w:pPr>
    </w:p>
    <w:p w14:paraId="1A3D6E62" w14:textId="77777777" w:rsidR="000E4BDA" w:rsidRPr="001363DD" w:rsidRDefault="00343567" w:rsidP="002246AB">
      <w:pPr>
        <w:ind w:left="720"/>
        <w:rPr>
          <w:rFonts w:eastAsia="Arial"/>
          <w:b/>
          <w:sz w:val="22"/>
          <w:szCs w:val="22"/>
        </w:rPr>
      </w:pPr>
      <w:r w:rsidRPr="001363DD">
        <w:rPr>
          <w:rFonts w:eastAsia="Arial"/>
          <w:b/>
          <w:sz w:val="22"/>
          <w:szCs w:val="22"/>
        </w:rPr>
        <w:t>A</w:t>
      </w:r>
      <w:r w:rsidR="000E4BDA" w:rsidRPr="001363DD">
        <w:rPr>
          <w:rFonts w:eastAsia="Arial"/>
          <w:b/>
          <w:sz w:val="22"/>
          <w:szCs w:val="22"/>
        </w:rPr>
        <w:t>llowable and Unallowable Costs</w:t>
      </w:r>
    </w:p>
    <w:p w14:paraId="41C06B83" w14:textId="35F3F6B2" w:rsidR="00BC10B9" w:rsidRDefault="00343567" w:rsidP="00E52B80">
      <w:pPr>
        <w:ind w:left="720"/>
        <w:rPr>
          <w:rFonts w:eastAsia="Arial"/>
          <w:sz w:val="22"/>
          <w:szCs w:val="22"/>
        </w:rPr>
      </w:pPr>
      <w:r w:rsidRPr="001363DD">
        <w:rPr>
          <w:rFonts w:eastAsia="Arial"/>
          <w:sz w:val="22"/>
          <w:szCs w:val="22"/>
        </w:rPr>
        <w:t xml:space="preserve">Please see the Allowable and Unallowable </w:t>
      </w:r>
      <w:r w:rsidR="000E4BDA" w:rsidRPr="001363DD">
        <w:rPr>
          <w:rFonts w:eastAsia="Arial"/>
          <w:sz w:val="22"/>
          <w:szCs w:val="22"/>
        </w:rPr>
        <w:t xml:space="preserve">Costs </w:t>
      </w:r>
      <w:r w:rsidRPr="001363DD">
        <w:rPr>
          <w:rFonts w:eastAsia="Arial"/>
          <w:sz w:val="22"/>
          <w:szCs w:val="22"/>
        </w:rPr>
        <w:t>ch</w:t>
      </w:r>
      <w:r w:rsidR="000E4BDA" w:rsidRPr="001363DD">
        <w:rPr>
          <w:rFonts w:eastAsia="Arial"/>
          <w:sz w:val="22"/>
          <w:szCs w:val="22"/>
        </w:rPr>
        <w:t>art under VOCA Grant Resources.</w:t>
      </w:r>
      <w:r w:rsidRPr="001363DD">
        <w:rPr>
          <w:rFonts w:eastAsia="Arial"/>
          <w:sz w:val="22"/>
          <w:szCs w:val="22"/>
        </w:rPr>
        <w:t xml:space="preserve"> For additional guidance,</w:t>
      </w:r>
      <w:r w:rsidRPr="001363DD">
        <w:rPr>
          <w:rFonts w:eastAsia="Arial"/>
          <w:b/>
          <w:sz w:val="22"/>
          <w:szCs w:val="22"/>
        </w:rPr>
        <w:t xml:space="preserve"> </w:t>
      </w:r>
      <w:r w:rsidRPr="001363DD">
        <w:rPr>
          <w:rFonts w:eastAsia="Arial"/>
          <w:sz w:val="22"/>
          <w:szCs w:val="22"/>
        </w:rPr>
        <w:t>please</w:t>
      </w:r>
      <w:r w:rsidR="000E4BDA" w:rsidRPr="001363DD">
        <w:rPr>
          <w:rFonts w:eastAsia="Arial"/>
          <w:sz w:val="22"/>
          <w:szCs w:val="22"/>
        </w:rPr>
        <w:t xml:space="preserve"> see 28 CFR Part 94, Subpart B-VOCA Victim Assistance Program at </w:t>
      </w:r>
      <w:hyperlink r:id="rId25" w:anchor="h-55" w:history="1">
        <w:r w:rsidR="00532E87">
          <w:rPr>
            <w:rStyle w:val="Hyperlink"/>
            <w:rFonts w:eastAsia="Arial"/>
            <w:sz w:val="22"/>
            <w:szCs w:val="22"/>
          </w:rPr>
          <w:t>www.federalregister.gov/documents/2016/07/08/2016-16085/victims-of-crime-act-victim-assistance-program#h-55</w:t>
        </w:r>
      </w:hyperlink>
      <w:r w:rsidR="000E4BDA" w:rsidRPr="001363DD">
        <w:rPr>
          <w:rFonts w:eastAsia="Arial"/>
          <w:sz w:val="22"/>
          <w:szCs w:val="22"/>
        </w:rPr>
        <w:t>.</w:t>
      </w:r>
    </w:p>
    <w:p w14:paraId="0DE94620" w14:textId="77777777" w:rsidR="002E038D" w:rsidRDefault="002E038D" w:rsidP="002E038D">
      <w:pPr>
        <w:rPr>
          <w:rFonts w:eastAsia="Arial"/>
          <w:sz w:val="22"/>
          <w:szCs w:val="22"/>
        </w:rPr>
      </w:pPr>
    </w:p>
    <w:p w14:paraId="493402AE" w14:textId="142D7EC5" w:rsidR="002E038D" w:rsidRPr="001363DD" w:rsidRDefault="002E038D" w:rsidP="00E52B80">
      <w:pPr>
        <w:pStyle w:val="ListParagraph"/>
        <w:numPr>
          <w:ilvl w:val="0"/>
          <w:numId w:val="28"/>
        </w:numPr>
        <w:pBdr>
          <w:top w:val="nil"/>
          <w:left w:val="nil"/>
          <w:bottom w:val="nil"/>
          <w:right w:val="nil"/>
          <w:between w:val="nil"/>
        </w:pBdr>
        <w:spacing w:before="120"/>
        <w:ind w:left="720"/>
        <w:contextualSpacing w:val="0"/>
        <w:rPr>
          <w:rFonts w:eastAsia="Arial"/>
          <w:b/>
          <w:sz w:val="22"/>
          <w:szCs w:val="22"/>
        </w:rPr>
      </w:pPr>
      <w:r w:rsidRPr="001363DD">
        <w:rPr>
          <w:rFonts w:eastAsia="Arial"/>
          <w:b/>
          <w:sz w:val="22"/>
          <w:szCs w:val="22"/>
        </w:rPr>
        <w:t>Budget</w:t>
      </w:r>
      <w:r>
        <w:rPr>
          <w:rFonts w:eastAsia="Arial"/>
          <w:b/>
          <w:sz w:val="22"/>
          <w:szCs w:val="22"/>
        </w:rPr>
        <w:t xml:space="preserve"> Narratives</w:t>
      </w:r>
      <w:r w:rsidRPr="001363DD">
        <w:rPr>
          <w:rFonts w:eastAsia="Arial"/>
          <w:b/>
          <w:sz w:val="22"/>
          <w:szCs w:val="22"/>
        </w:rPr>
        <w:t xml:space="preserve"> </w:t>
      </w:r>
      <w:r>
        <w:rPr>
          <w:rFonts w:eastAsia="Arial"/>
          <w:b/>
          <w:sz w:val="22"/>
          <w:szCs w:val="22"/>
        </w:rPr>
        <w:t xml:space="preserve">– complete one for each fiscal year </w:t>
      </w:r>
      <w:r w:rsidR="00E52B80" w:rsidRPr="00AB728E">
        <w:rPr>
          <w:rFonts w:eastAsia="Arial"/>
          <w:b/>
          <w:sz w:val="22"/>
          <w:szCs w:val="22"/>
        </w:rPr>
        <w:t>(FY</w:t>
      </w:r>
      <w:r w:rsidR="00E52B80">
        <w:rPr>
          <w:rFonts w:eastAsia="Arial"/>
          <w:b/>
          <w:sz w:val="22"/>
          <w:szCs w:val="22"/>
        </w:rPr>
        <w:t xml:space="preserve"> 20</w:t>
      </w:r>
      <w:r w:rsidR="00E52B80" w:rsidRPr="00AB728E">
        <w:rPr>
          <w:rFonts w:eastAsia="Arial"/>
          <w:b/>
          <w:sz w:val="22"/>
          <w:szCs w:val="22"/>
        </w:rPr>
        <w:t>20</w:t>
      </w:r>
      <w:r w:rsidR="00E52B80">
        <w:rPr>
          <w:rFonts w:eastAsia="Arial"/>
          <w:b/>
          <w:sz w:val="22"/>
          <w:szCs w:val="22"/>
        </w:rPr>
        <w:t xml:space="preserve"> and FY 20</w:t>
      </w:r>
      <w:r w:rsidR="00E52B80" w:rsidRPr="00AB728E">
        <w:rPr>
          <w:rFonts w:eastAsia="Arial"/>
          <w:b/>
          <w:sz w:val="22"/>
          <w:szCs w:val="22"/>
        </w:rPr>
        <w:t>21)</w:t>
      </w:r>
    </w:p>
    <w:p w14:paraId="6B57AADE" w14:textId="77777777" w:rsidR="002E038D" w:rsidRDefault="002E038D" w:rsidP="002E038D">
      <w:pPr>
        <w:ind w:left="720"/>
        <w:rPr>
          <w:rFonts w:eastAsia="Arial"/>
          <w:sz w:val="22"/>
          <w:szCs w:val="22"/>
        </w:rPr>
      </w:pPr>
      <w:bookmarkStart w:id="34" w:name="_2grqrue" w:colFirst="0" w:colLast="0"/>
      <w:bookmarkStart w:id="35" w:name="_1v1yuxt" w:colFirst="0" w:colLast="0"/>
      <w:bookmarkStart w:id="36" w:name="_4f1mdlm" w:colFirst="0" w:colLast="0"/>
      <w:bookmarkEnd w:id="34"/>
      <w:bookmarkEnd w:id="35"/>
      <w:bookmarkEnd w:id="36"/>
    </w:p>
    <w:p w14:paraId="1D4308CD" w14:textId="6E218393" w:rsidR="002E038D" w:rsidRPr="002246AB" w:rsidRDefault="002E038D" w:rsidP="002E038D">
      <w:pPr>
        <w:ind w:left="720"/>
        <w:rPr>
          <w:rFonts w:eastAsia="Arial"/>
          <w:sz w:val="22"/>
          <w:szCs w:val="22"/>
        </w:rPr>
      </w:pPr>
      <w:r>
        <w:rPr>
          <w:rFonts w:eastAsia="Arial"/>
          <w:sz w:val="22"/>
          <w:szCs w:val="22"/>
        </w:rPr>
        <w:t xml:space="preserve">A budget narrative </w:t>
      </w:r>
      <w:r w:rsidRPr="002246AB">
        <w:rPr>
          <w:rFonts w:eastAsia="Arial"/>
          <w:sz w:val="22"/>
          <w:szCs w:val="22"/>
        </w:rPr>
        <w:t xml:space="preserve">should be </w:t>
      </w:r>
      <w:r>
        <w:rPr>
          <w:rFonts w:eastAsia="Arial"/>
          <w:sz w:val="22"/>
          <w:szCs w:val="22"/>
        </w:rPr>
        <w:t>complet</w:t>
      </w:r>
      <w:r w:rsidRPr="002246AB">
        <w:rPr>
          <w:rFonts w:eastAsia="Arial"/>
          <w:sz w:val="22"/>
          <w:szCs w:val="22"/>
        </w:rPr>
        <w:t>ed for each fiscal year (fiscal years 2020</w:t>
      </w:r>
      <w:r w:rsidR="00C528AC">
        <w:rPr>
          <w:rFonts w:eastAsia="Arial"/>
          <w:sz w:val="22"/>
          <w:szCs w:val="22"/>
        </w:rPr>
        <w:t xml:space="preserve"> and</w:t>
      </w:r>
      <w:r w:rsidRPr="002246AB">
        <w:rPr>
          <w:rFonts w:eastAsia="Arial"/>
          <w:sz w:val="22"/>
          <w:szCs w:val="22"/>
        </w:rPr>
        <w:t xml:space="preserve"> 2021).</w:t>
      </w:r>
      <w:r>
        <w:rPr>
          <w:rFonts w:eastAsia="Arial"/>
          <w:sz w:val="22"/>
          <w:szCs w:val="22"/>
        </w:rPr>
        <w:t xml:space="preserve"> </w:t>
      </w:r>
      <w:r w:rsidRPr="001363DD">
        <w:rPr>
          <w:rFonts w:eastAsia="Arial"/>
          <w:sz w:val="22"/>
          <w:szCs w:val="22"/>
        </w:rPr>
        <w:t>Use of the Budget Narrative Template Fo</w:t>
      </w:r>
      <w:r>
        <w:rPr>
          <w:rFonts w:eastAsia="Arial"/>
          <w:sz w:val="22"/>
          <w:szCs w:val="22"/>
        </w:rPr>
        <w:t xml:space="preserve">rm is </w:t>
      </w:r>
      <w:r w:rsidRPr="001363DD">
        <w:rPr>
          <w:rFonts w:eastAsia="Arial"/>
          <w:sz w:val="22"/>
          <w:szCs w:val="22"/>
        </w:rPr>
        <w:t>required.</w:t>
      </w:r>
      <w:r>
        <w:rPr>
          <w:rFonts w:eastAsia="Arial"/>
          <w:sz w:val="22"/>
          <w:szCs w:val="22"/>
        </w:rPr>
        <w:t xml:space="preserve"> </w:t>
      </w:r>
      <w:r w:rsidRPr="001363DD">
        <w:rPr>
          <w:rFonts w:eastAsia="Arial"/>
          <w:sz w:val="22"/>
          <w:szCs w:val="22"/>
        </w:rPr>
        <w:t>Budget narratives must explain the reasons for each requested budget item and how requested amounts were determined. A line-ite</w:t>
      </w:r>
      <w:r>
        <w:rPr>
          <w:rFonts w:eastAsia="Arial"/>
          <w:sz w:val="22"/>
          <w:szCs w:val="22"/>
        </w:rPr>
        <w:t>m budget narrative is required and must correspond directly with the itemized budgets. See the following sections for detailed descriptions of each budget category.</w:t>
      </w:r>
    </w:p>
    <w:p w14:paraId="2FB56795" w14:textId="77777777" w:rsidR="002E038D" w:rsidRPr="001363DD" w:rsidRDefault="002E038D" w:rsidP="00EB415B">
      <w:pPr>
        <w:rPr>
          <w:rFonts w:eastAsia="Arial"/>
          <w:b/>
          <w:sz w:val="22"/>
          <w:szCs w:val="22"/>
        </w:rPr>
      </w:pPr>
    </w:p>
    <w:p w14:paraId="5D538110" w14:textId="77777777" w:rsidR="00B41E43" w:rsidRPr="001363DD" w:rsidRDefault="00B41E43" w:rsidP="00E52B80">
      <w:pPr>
        <w:pStyle w:val="ListParagraph"/>
        <w:numPr>
          <w:ilvl w:val="0"/>
          <w:numId w:val="28"/>
        </w:numPr>
        <w:pBdr>
          <w:top w:val="nil"/>
          <w:left w:val="nil"/>
          <w:bottom w:val="nil"/>
          <w:right w:val="nil"/>
          <w:between w:val="nil"/>
        </w:pBdr>
        <w:spacing w:before="120"/>
        <w:ind w:left="720"/>
        <w:rPr>
          <w:rFonts w:eastAsia="Arial"/>
          <w:b/>
          <w:sz w:val="22"/>
          <w:szCs w:val="22"/>
        </w:rPr>
      </w:pPr>
      <w:r w:rsidRPr="001363DD">
        <w:rPr>
          <w:rFonts w:eastAsia="Arial"/>
          <w:b/>
          <w:sz w:val="22"/>
          <w:szCs w:val="22"/>
        </w:rPr>
        <w:t>Budget Category Descriptions</w:t>
      </w:r>
    </w:p>
    <w:p w14:paraId="678B3D05" w14:textId="77777777" w:rsidR="00B41E43" w:rsidRPr="001363DD" w:rsidRDefault="00B41E43" w:rsidP="002E038D">
      <w:pPr>
        <w:ind w:left="720"/>
        <w:rPr>
          <w:rFonts w:eastAsia="Arial"/>
          <w:b/>
          <w:sz w:val="22"/>
          <w:szCs w:val="22"/>
        </w:rPr>
      </w:pPr>
    </w:p>
    <w:p w14:paraId="63B0CC78" w14:textId="77777777" w:rsidR="00BC10B9" w:rsidRPr="0057142E" w:rsidRDefault="00343567" w:rsidP="002E038D">
      <w:pPr>
        <w:ind w:left="720"/>
        <w:rPr>
          <w:rFonts w:eastAsia="Arial"/>
          <w:b/>
          <w:caps/>
          <w:sz w:val="22"/>
          <w:szCs w:val="22"/>
        </w:rPr>
      </w:pPr>
      <w:r w:rsidRPr="0057142E">
        <w:rPr>
          <w:rFonts w:eastAsia="Arial"/>
          <w:b/>
          <w:caps/>
          <w:sz w:val="22"/>
          <w:szCs w:val="22"/>
        </w:rPr>
        <w:t>Personnel</w:t>
      </w:r>
    </w:p>
    <w:p w14:paraId="10A107C4" w14:textId="6690569C" w:rsidR="00072AEB" w:rsidRPr="00BF28A3" w:rsidRDefault="00343567" w:rsidP="00FF2B27">
      <w:pPr>
        <w:ind w:left="720"/>
        <w:rPr>
          <w:rFonts w:eastAsia="Arial"/>
          <w:sz w:val="22"/>
          <w:szCs w:val="22"/>
        </w:rPr>
      </w:pPr>
      <w:r w:rsidRPr="001363DD">
        <w:rPr>
          <w:rFonts w:eastAsia="Arial"/>
          <w:sz w:val="22"/>
          <w:szCs w:val="22"/>
        </w:rPr>
        <w:t>List each position by title (and name of employee, if available). Show the annual salary rate for the employee and the hours to be devoted to the project by the employee. Typically, full-time emplo</w:t>
      </w:r>
      <w:r w:rsidR="00072AEB" w:rsidRPr="001363DD">
        <w:rPr>
          <w:rFonts w:eastAsia="Arial"/>
          <w:sz w:val="22"/>
          <w:szCs w:val="22"/>
        </w:rPr>
        <w:t>yees work 2,080 hours annually.</w:t>
      </w:r>
      <w:r w:rsidR="00FF2B27">
        <w:rPr>
          <w:rFonts w:eastAsia="Arial"/>
          <w:sz w:val="22"/>
          <w:szCs w:val="22"/>
        </w:rPr>
        <w:t xml:space="preserve"> </w:t>
      </w:r>
      <w:r w:rsidRPr="00BF28A3">
        <w:rPr>
          <w:rFonts w:eastAsia="Arial"/>
          <w:sz w:val="22"/>
          <w:szCs w:val="22"/>
        </w:rPr>
        <w:t>Indicate each type of benefit included and the tot</w:t>
      </w:r>
      <w:r w:rsidR="002E038D" w:rsidRPr="00BF28A3">
        <w:rPr>
          <w:rFonts w:eastAsia="Arial"/>
          <w:sz w:val="22"/>
          <w:szCs w:val="22"/>
        </w:rPr>
        <w:t xml:space="preserve">al cost </w:t>
      </w:r>
      <w:r w:rsidR="00D27202">
        <w:rPr>
          <w:rFonts w:eastAsia="Arial"/>
          <w:sz w:val="22"/>
          <w:szCs w:val="22"/>
        </w:rPr>
        <w:t>of</w:t>
      </w:r>
      <w:r w:rsidR="00072AEB" w:rsidRPr="00BF28A3">
        <w:rPr>
          <w:rFonts w:eastAsia="Arial"/>
          <w:sz w:val="22"/>
          <w:szCs w:val="22"/>
        </w:rPr>
        <w:t xml:space="preserve"> employees </w:t>
      </w:r>
      <w:r w:rsidRPr="00BF28A3">
        <w:rPr>
          <w:rFonts w:eastAsia="Arial"/>
          <w:sz w:val="22"/>
          <w:szCs w:val="22"/>
        </w:rPr>
        <w:t>assigned to the project.</w:t>
      </w:r>
    </w:p>
    <w:p w14:paraId="0CB39A76" w14:textId="77777777" w:rsidR="00BC10B9" w:rsidRPr="001363DD" w:rsidRDefault="00BC10B9" w:rsidP="002E038D">
      <w:pPr>
        <w:ind w:left="720"/>
        <w:rPr>
          <w:rFonts w:eastAsia="Arial"/>
          <w:b/>
          <w:sz w:val="22"/>
          <w:szCs w:val="22"/>
        </w:rPr>
      </w:pPr>
    </w:p>
    <w:p w14:paraId="61395371" w14:textId="77777777" w:rsidR="00BC10B9" w:rsidRPr="001363DD" w:rsidRDefault="00343567" w:rsidP="002E038D">
      <w:pPr>
        <w:ind w:left="720"/>
        <w:rPr>
          <w:rFonts w:eastAsia="Arial"/>
          <w:sz w:val="22"/>
          <w:szCs w:val="22"/>
        </w:rPr>
      </w:pPr>
      <w:r w:rsidRPr="001363DD">
        <w:rPr>
          <w:rFonts w:eastAsia="Arial"/>
          <w:sz w:val="22"/>
          <w:szCs w:val="22"/>
        </w:rPr>
        <w:t xml:space="preserve">Applicants should carefully evaluate and document physical and organizational capacity to accommodate and effectively utilize new staff. </w:t>
      </w:r>
    </w:p>
    <w:p w14:paraId="6F430731" w14:textId="77777777" w:rsidR="00BC10B9" w:rsidRPr="001363DD" w:rsidRDefault="00BC10B9" w:rsidP="002E038D">
      <w:pPr>
        <w:ind w:left="720"/>
        <w:rPr>
          <w:rFonts w:eastAsia="Arial"/>
          <w:sz w:val="22"/>
          <w:szCs w:val="22"/>
        </w:rPr>
      </w:pPr>
    </w:p>
    <w:p w14:paraId="7977C747" w14:textId="77777777" w:rsidR="00BC10B9" w:rsidRPr="001363DD" w:rsidRDefault="004434B5" w:rsidP="002E038D">
      <w:pPr>
        <w:ind w:left="720"/>
        <w:rPr>
          <w:rFonts w:eastAsia="Arial"/>
          <w:sz w:val="22"/>
          <w:szCs w:val="22"/>
        </w:rPr>
      </w:pPr>
      <w:r w:rsidRPr="001363DD">
        <w:rPr>
          <w:rFonts w:eastAsia="Arial"/>
          <w:sz w:val="22"/>
          <w:szCs w:val="22"/>
        </w:rPr>
        <w:t>All</w:t>
      </w:r>
      <w:r w:rsidR="00343567" w:rsidRPr="001363DD">
        <w:rPr>
          <w:rFonts w:eastAsia="Arial"/>
          <w:sz w:val="22"/>
          <w:szCs w:val="22"/>
        </w:rPr>
        <w:t xml:space="preserve"> applicants must justify the necessity of creating each new position. Please describe the duties, responsibilities, and qualifications required of </w:t>
      </w:r>
      <w:r w:rsidRPr="001363DD">
        <w:rPr>
          <w:rFonts w:eastAsia="Arial"/>
          <w:sz w:val="22"/>
          <w:szCs w:val="22"/>
        </w:rPr>
        <w:t xml:space="preserve">each new grant funded position. </w:t>
      </w:r>
      <w:r w:rsidR="00343567" w:rsidRPr="001363DD">
        <w:rPr>
          <w:rFonts w:eastAsia="Arial"/>
          <w:sz w:val="22"/>
          <w:szCs w:val="22"/>
        </w:rPr>
        <w:t>Required duties, responsibilities, and qualifications must be designed to effectively provide direct services and must be consistent with all grant requirements.</w:t>
      </w:r>
    </w:p>
    <w:p w14:paraId="0324DEF7" w14:textId="77777777" w:rsidR="00BC10B9" w:rsidRPr="001363DD" w:rsidRDefault="00BC10B9" w:rsidP="002E038D">
      <w:pPr>
        <w:ind w:left="720"/>
        <w:rPr>
          <w:rFonts w:eastAsia="Arial"/>
          <w:sz w:val="22"/>
          <w:szCs w:val="22"/>
        </w:rPr>
      </w:pPr>
    </w:p>
    <w:p w14:paraId="388A5A0F" w14:textId="77777777" w:rsidR="00BC10B9" w:rsidRPr="001363DD" w:rsidRDefault="00343567" w:rsidP="002E038D">
      <w:pPr>
        <w:ind w:left="720"/>
        <w:rPr>
          <w:rFonts w:eastAsia="Arial"/>
          <w:sz w:val="22"/>
          <w:szCs w:val="22"/>
        </w:rPr>
      </w:pPr>
      <w:r w:rsidRPr="00BF28A3">
        <w:rPr>
          <w:rFonts w:eastAsia="Arial"/>
          <w:b/>
          <w:i/>
          <w:sz w:val="22"/>
          <w:szCs w:val="22"/>
        </w:rPr>
        <w:t>Staff of Statewide Victim Assistance Programs</w:t>
      </w:r>
      <w:r w:rsidRPr="00BF28A3">
        <w:rPr>
          <w:rFonts w:eastAsia="Arial"/>
          <w:i/>
          <w:sz w:val="22"/>
          <w:szCs w:val="22"/>
        </w:rPr>
        <w:t xml:space="preserve">: </w:t>
      </w:r>
      <w:r w:rsidRPr="001363DD">
        <w:rPr>
          <w:rFonts w:eastAsia="Arial"/>
          <w:sz w:val="22"/>
          <w:szCs w:val="22"/>
        </w:rPr>
        <w:t>To be eligible for grant funding, proposed positions must provide or facilitate the provision</w:t>
      </w:r>
      <w:r w:rsidR="004434B5" w:rsidRPr="001363DD">
        <w:rPr>
          <w:rFonts w:eastAsia="Arial"/>
          <w:sz w:val="22"/>
          <w:szCs w:val="22"/>
        </w:rPr>
        <w:t xml:space="preserve"> of direct services to victims. </w:t>
      </w:r>
      <w:r w:rsidRPr="001363DD">
        <w:rPr>
          <w:rFonts w:eastAsia="Arial"/>
          <w:sz w:val="22"/>
          <w:szCs w:val="22"/>
        </w:rPr>
        <w:t>Additionally, all tasks, duties, and responsibilities must relate directly to the provision of information and assistance to</w:t>
      </w:r>
      <w:r w:rsidR="00BF28A3">
        <w:rPr>
          <w:rFonts w:eastAsia="Arial"/>
          <w:sz w:val="22"/>
          <w:szCs w:val="22"/>
        </w:rPr>
        <w:t xml:space="preserve"> victims, as allowable under the VOCA Rule.</w:t>
      </w:r>
    </w:p>
    <w:p w14:paraId="2EADD15C" w14:textId="77777777" w:rsidR="00BC10B9" w:rsidRPr="001363DD" w:rsidRDefault="00BC10B9" w:rsidP="002E038D">
      <w:pPr>
        <w:ind w:left="720"/>
        <w:rPr>
          <w:rFonts w:eastAsia="Arial"/>
          <w:sz w:val="22"/>
          <w:szCs w:val="22"/>
        </w:rPr>
      </w:pPr>
    </w:p>
    <w:p w14:paraId="5D459415" w14:textId="3E1B78AB" w:rsidR="00BC10B9" w:rsidRDefault="00343567" w:rsidP="002E038D">
      <w:pPr>
        <w:ind w:left="720"/>
        <w:rPr>
          <w:rFonts w:eastAsia="Arial"/>
          <w:sz w:val="22"/>
          <w:szCs w:val="22"/>
        </w:rPr>
      </w:pPr>
      <w:r w:rsidRPr="00BF28A3">
        <w:rPr>
          <w:rFonts w:eastAsia="Arial"/>
          <w:b/>
          <w:i/>
          <w:sz w:val="22"/>
          <w:szCs w:val="22"/>
        </w:rPr>
        <w:t>Salary for Grant Funded Staff</w:t>
      </w:r>
      <w:r w:rsidRPr="00BF28A3">
        <w:rPr>
          <w:rFonts w:eastAsia="Arial"/>
          <w:i/>
          <w:sz w:val="22"/>
          <w:szCs w:val="22"/>
        </w:rPr>
        <w:t>:</w:t>
      </w:r>
      <w:r w:rsidRPr="00BF28A3">
        <w:rPr>
          <w:rFonts w:eastAsia="Arial"/>
          <w:sz w:val="22"/>
          <w:szCs w:val="22"/>
        </w:rPr>
        <w:t xml:space="preserve"> </w:t>
      </w:r>
      <w:r w:rsidRPr="001363DD">
        <w:rPr>
          <w:rFonts w:eastAsia="Arial"/>
          <w:sz w:val="22"/>
          <w:szCs w:val="22"/>
        </w:rPr>
        <w:t>In addition to describing new staff responsibilities, applicants must justify all requested salaries. Justification may inc</w:t>
      </w:r>
      <w:r w:rsidR="00BF28A3">
        <w:rPr>
          <w:rFonts w:eastAsia="Arial"/>
          <w:sz w:val="22"/>
          <w:szCs w:val="22"/>
        </w:rPr>
        <w:t>lude documentation demonstrating</w:t>
      </w:r>
      <w:r w:rsidRPr="001363DD">
        <w:rPr>
          <w:rFonts w:eastAsia="Arial"/>
          <w:sz w:val="22"/>
          <w:szCs w:val="22"/>
        </w:rPr>
        <w:t xml:space="preserve"> that requested salaries are consistent with salaries paid to other positions with similar responsibilities, within the program, or at other ag</w:t>
      </w:r>
      <w:r w:rsidR="004434B5" w:rsidRPr="001363DD">
        <w:rPr>
          <w:rFonts w:eastAsia="Arial"/>
          <w:sz w:val="22"/>
          <w:szCs w:val="22"/>
        </w:rPr>
        <w:t>enc</w:t>
      </w:r>
      <w:r w:rsidR="00624FC0">
        <w:rPr>
          <w:rFonts w:eastAsia="Arial"/>
          <w:sz w:val="22"/>
          <w:szCs w:val="22"/>
        </w:rPr>
        <w:t>ies in the service area</w:t>
      </w:r>
      <w:r w:rsidR="004434B5" w:rsidRPr="001363DD">
        <w:rPr>
          <w:rFonts w:eastAsia="Arial"/>
          <w:sz w:val="22"/>
          <w:szCs w:val="22"/>
        </w:rPr>
        <w:t>.</w:t>
      </w:r>
      <w:r w:rsidRPr="001363DD">
        <w:rPr>
          <w:rFonts w:eastAsia="Arial"/>
          <w:sz w:val="22"/>
          <w:szCs w:val="22"/>
        </w:rPr>
        <w:t xml:space="preserve"> </w:t>
      </w:r>
      <w:r w:rsidR="00624FC0">
        <w:rPr>
          <w:rFonts w:eastAsia="Arial"/>
          <w:sz w:val="22"/>
          <w:szCs w:val="22"/>
        </w:rPr>
        <w:t xml:space="preserve">All requested amounts must be </w:t>
      </w:r>
      <w:r w:rsidRPr="001363DD">
        <w:rPr>
          <w:rFonts w:eastAsia="Arial"/>
          <w:sz w:val="22"/>
          <w:szCs w:val="22"/>
        </w:rPr>
        <w:t xml:space="preserve">reasonable given the complexity of work, and consistent with the </w:t>
      </w:r>
      <w:r w:rsidR="00624FC0">
        <w:rPr>
          <w:rFonts w:eastAsia="Arial"/>
          <w:sz w:val="22"/>
          <w:szCs w:val="22"/>
        </w:rPr>
        <w:t>applicant</w:t>
      </w:r>
      <w:r w:rsidR="00A8140A">
        <w:rPr>
          <w:rFonts w:eastAsia="Arial"/>
          <w:sz w:val="22"/>
          <w:szCs w:val="22"/>
        </w:rPr>
        <w:t>’</w:t>
      </w:r>
      <w:r w:rsidR="00624FC0">
        <w:rPr>
          <w:rFonts w:eastAsia="Arial"/>
          <w:sz w:val="22"/>
          <w:szCs w:val="22"/>
        </w:rPr>
        <w:t xml:space="preserve">s staff compensation plan. </w:t>
      </w:r>
      <w:r w:rsidRPr="001363DD">
        <w:rPr>
          <w:rFonts w:eastAsia="Arial"/>
          <w:sz w:val="22"/>
          <w:szCs w:val="22"/>
        </w:rPr>
        <w:t>Submission of the signed application signifies acceptance of all grant conditions, including non-supplantation, and certification that personnel expenses are reasonable, appropriate, and consistent with applicable local personnel p</w:t>
      </w:r>
      <w:r w:rsidR="004434B5" w:rsidRPr="001363DD">
        <w:rPr>
          <w:rFonts w:eastAsia="Arial"/>
          <w:sz w:val="22"/>
          <w:szCs w:val="22"/>
        </w:rPr>
        <w:t>olicies and compensation plans.</w:t>
      </w:r>
    </w:p>
    <w:p w14:paraId="43B96B74" w14:textId="77777777" w:rsidR="007B6F25" w:rsidRDefault="007B6F25" w:rsidP="00624FC0">
      <w:pPr>
        <w:ind w:left="720"/>
        <w:rPr>
          <w:rFonts w:eastAsia="Arial"/>
          <w:b/>
          <w:caps/>
          <w:sz w:val="22"/>
          <w:szCs w:val="22"/>
        </w:rPr>
      </w:pPr>
      <w:bookmarkStart w:id="37" w:name="_2u6wntf" w:colFirst="0" w:colLast="0"/>
      <w:bookmarkEnd w:id="37"/>
    </w:p>
    <w:p w14:paraId="34AA5F40" w14:textId="647C42A2" w:rsidR="00BC10B9" w:rsidRDefault="00343567" w:rsidP="00FE4329">
      <w:pPr>
        <w:spacing w:before="120"/>
        <w:ind w:left="720"/>
        <w:rPr>
          <w:rFonts w:eastAsia="Arial"/>
          <w:b/>
          <w:caps/>
          <w:sz w:val="22"/>
          <w:szCs w:val="22"/>
        </w:rPr>
      </w:pPr>
      <w:r w:rsidRPr="0057142E">
        <w:rPr>
          <w:rFonts w:eastAsia="Arial"/>
          <w:b/>
          <w:caps/>
          <w:sz w:val="22"/>
          <w:szCs w:val="22"/>
        </w:rPr>
        <w:t>Consultants</w:t>
      </w:r>
    </w:p>
    <w:p w14:paraId="0714F238" w14:textId="406A6595" w:rsidR="0057142E" w:rsidRDefault="00343567" w:rsidP="0057142E">
      <w:pPr>
        <w:ind w:left="720"/>
        <w:rPr>
          <w:rFonts w:eastAsia="Arial"/>
          <w:sz w:val="22"/>
          <w:szCs w:val="22"/>
        </w:rPr>
      </w:pPr>
      <w:r w:rsidRPr="001363DD">
        <w:rPr>
          <w:rFonts w:eastAsia="Arial"/>
          <w:sz w:val="22"/>
          <w:szCs w:val="22"/>
        </w:rPr>
        <w:lastRenderedPageBreak/>
        <w:t xml:space="preserve">List each type of consultant or service (with numbers in each category and names of major consultants when available), the proposed daily fee rate, and the amount of time to be devoted to such services. </w:t>
      </w:r>
      <w:r w:rsidR="00E52B80">
        <w:rPr>
          <w:rFonts w:eastAsia="Arial"/>
          <w:sz w:val="22"/>
          <w:szCs w:val="22"/>
        </w:rPr>
        <w:t>The U.</w:t>
      </w:r>
      <w:r w:rsidR="00385BF5">
        <w:rPr>
          <w:rFonts w:eastAsia="Arial"/>
          <w:sz w:val="22"/>
          <w:szCs w:val="22"/>
        </w:rPr>
        <w:t xml:space="preserve">S. Department of Justice Grants Financial Guide requires that compensation for </w:t>
      </w:r>
      <w:r w:rsidR="00A8140A">
        <w:rPr>
          <w:rFonts w:eastAsia="Arial"/>
          <w:sz w:val="22"/>
          <w:szCs w:val="22"/>
        </w:rPr>
        <w:t>“</w:t>
      </w:r>
      <w:r w:rsidR="00385BF5">
        <w:rPr>
          <w:rFonts w:eastAsia="Arial"/>
          <w:sz w:val="22"/>
          <w:szCs w:val="22"/>
        </w:rPr>
        <w:t>individual consultant services is to be reasonable and consistent with that paid for similar services in the marketplace.</w:t>
      </w:r>
      <w:r w:rsidR="00A8140A">
        <w:rPr>
          <w:rFonts w:eastAsia="Arial"/>
          <w:sz w:val="22"/>
          <w:szCs w:val="22"/>
        </w:rPr>
        <w:t>”</w:t>
      </w:r>
      <w:r w:rsidR="00385BF5">
        <w:rPr>
          <w:rFonts w:eastAsia="Arial"/>
          <w:sz w:val="22"/>
          <w:szCs w:val="22"/>
        </w:rPr>
        <w:t xml:space="preserve"> </w:t>
      </w:r>
      <w:r w:rsidR="0057142E">
        <w:rPr>
          <w:rFonts w:eastAsia="Arial"/>
          <w:sz w:val="22"/>
          <w:szCs w:val="22"/>
        </w:rPr>
        <w:t>An individual c</w:t>
      </w:r>
      <w:r w:rsidRPr="001363DD">
        <w:rPr>
          <w:rFonts w:eastAsia="Arial"/>
          <w:sz w:val="22"/>
          <w:szCs w:val="22"/>
        </w:rPr>
        <w:t>onsultant</w:t>
      </w:r>
      <w:r w:rsidR="00A8140A">
        <w:rPr>
          <w:rFonts w:eastAsia="Arial"/>
          <w:sz w:val="22"/>
          <w:szCs w:val="22"/>
        </w:rPr>
        <w:t>’</w:t>
      </w:r>
      <w:r w:rsidRPr="001363DD">
        <w:rPr>
          <w:rFonts w:eastAsia="Arial"/>
          <w:sz w:val="22"/>
          <w:szCs w:val="22"/>
        </w:rPr>
        <w:t>s rate may not exceed $650.00 per day.</w:t>
      </w:r>
    </w:p>
    <w:p w14:paraId="499D0B43" w14:textId="77777777" w:rsidR="0057142E" w:rsidRDefault="0057142E" w:rsidP="0057142E">
      <w:pPr>
        <w:ind w:left="720"/>
        <w:rPr>
          <w:rFonts w:eastAsia="Arial"/>
          <w:sz w:val="22"/>
          <w:szCs w:val="22"/>
        </w:rPr>
      </w:pPr>
    </w:p>
    <w:p w14:paraId="28C5D6AB" w14:textId="77777777" w:rsidR="0057142E" w:rsidRDefault="0057142E" w:rsidP="00624FC0">
      <w:pPr>
        <w:ind w:left="720"/>
        <w:rPr>
          <w:rFonts w:eastAsia="Arial"/>
          <w:sz w:val="22"/>
          <w:szCs w:val="22"/>
        </w:rPr>
      </w:pPr>
      <w:r>
        <w:rPr>
          <w:rFonts w:eastAsia="Arial"/>
          <w:sz w:val="22"/>
          <w:szCs w:val="22"/>
        </w:rPr>
        <w:t xml:space="preserve">Requests in this category will be carefully reviewed. Justification should be provided that describes how the </w:t>
      </w:r>
      <w:r w:rsidRPr="001363DD">
        <w:rPr>
          <w:rFonts w:eastAsia="Arial"/>
          <w:sz w:val="22"/>
          <w:szCs w:val="22"/>
        </w:rPr>
        <w:t>use of outside consultants will significantly and permanentl</w:t>
      </w:r>
      <w:r>
        <w:rPr>
          <w:rFonts w:eastAsia="Arial"/>
          <w:sz w:val="22"/>
          <w:szCs w:val="22"/>
        </w:rPr>
        <w:t>y enhance project effectiveness</w:t>
      </w:r>
      <w:r w:rsidRPr="001363DD">
        <w:rPr>
          <w:rFonts w:eastAsia="Arial"/>
          <w:sz w:val="22"/>
          <w:szCs w:val="22"/>
        </w:rPr>
        <w:t>.</w:t>
      </w:r>
      <w:bookmarkStart w:id="38" w:name="_19c6y18" w:colFirst="0" w:colLast="0"/>
      <w:bookmarkEnd w:id="38"/>
    </w:p>
    <w:p w14:paraId="48C922FB" w14:textId="77777777" w:rsidR="0057142E" w:rsidRDefault="0057142E" w:rsidP="00624FC0">
      <w:pPr>
        <w:ind w:left="720"/>
        <w:rPr>
          <w:rFonts w:eastAsia="Arial"/>
          <w:sz w:val="22"/>
          <w:szCs w:val="22"/>
        </w:rPr>
      </w:pPr>
    </w:p>
    <w:p w14:paraId="674FCE40" w14:textId="77777777" w:rsidR="00BC10B9" w:rsidRDefault="00343567" w:rsidP="00624FC0">
      <w:pPr>
        <w:ind w:left="720"/>
        <w:rPr>
          <w:rFonts w:eastAsia="Arial"/>
          <w:sz w:val="22"/>
          <w:szCs w:val="22"/>
        </w:rPr>
      </w:pPr>
      <w:r w:rsidRPr="001363DD">
        <w:rPr>
          <w:rFonts w:eastAsia="Arial"/>
          <w:sz w:val="22"/>
          <w:szCs w:val="22"/>
        </w:rPr>
        <w:t>For organizations</w:t>
      </w:r>
      <w:r w:rsidR="0057142E">
        <w:rPr>
          <w:rFonts w:eastAsia="Arial"/>
          <w:sz w:val="22"/>
          <w:szCs w:val="22"/>
        </w:rPr>
        <w:t xml:space="preserve"> performing professional services</w:t>
      </w:r>
      <w:r w:rsidRPr="001363DD">
        <w:rPr>
          <w:rFonts w:eastAsia="Arial"/>
          <w:sz w:val="22"/>
          <w:szCs w:val="22"/>
        </w:rPr>
        <w:t>, including professional association</w:t>
      </w:r>
      <w:r w:rsidR="0057142E">
        <w:rPr>
          <w:rFonts w:eastAsia="Arial"/>
          <w:sz w:val="22"/>
          <w:szCs w:val="22"/>
        </w:rPr>
        <w:t>s and educational institutions, i</w:t>
      </w:r>
      <w:r w:rsidRPr="001363DD">
        <w:rPr>
          <w:rFonts w:eastAsia="Arial"/>
          <w:sz w:val="22"/>
          <w:szCs w:val="22"/>
        </w:rPr>
        <w:t xml:space="preserve">ndicate </w:t>
      </w:r>
      <w:r w:rsidR="0057142E">
        <w:rPr>
          <w:rFonts w:eastAsia="Arial"/>
          <w:sz w:val="22"/>
          <w:szCs w:val="22"/>
        </w:rPr>
        <w:t xml:space="preserve">the </w:t>
      </w:r>
      <w:r w:rsidRPr="001363DD">
        <w:rPr>
          <w:rFonts w:eastAsia="Arial"/>
          <w:sz w:val="22"/>
          <w:szCs w:val="22"/>
        </w:rPr>
        <w:t>type of services being performed</w:t>
      </w:r>
      <w:r w:rsidR="0057142E">
        <w:rPr>
          <w:rFonts w:eastAsia="Arial"/>
          <w:sz w:val="22"/>
          <w:szCs w:val="22"/>
        </w:rPr>
        <w:t>, staffing levels, and estimated contract price</w:t>
      </w:r>
      <w:r w:rsidRPr="001363DD">
        <w:rPr>
          <w:rFonts w:eastAsia="Arial"/>
          <w:sz w:val="22"/>
          <w:szCs w:val="22"/>
        </w:rPr>
        <w:t>.</w:t>
      </w:r>
    </w:p>
    <w:p w14:paraId="7BA849A2" w14:textId="77777777" w:rsidR="00BC10B9" w:rsidRPr="001363DD" w:rsidRDefault="00BC10B9" w:rsidP="00624FC0">
      <w:pPr>
        <w:ind w:left="720"/>
        <w:rPr>
          <w:rFonts w:eastAsia="Arial"/>
          <w:sz w:val="22"/>
          <w:szCs w:val="22"/>
        </w:rPr>
      </w:pPr>
    </w:p>
    <w:p w14:paraId="021DCAA2" w14:textId="77777777" w:rsidR="00BC10B9" w:rsidRPr="001363DD" w:rsidRDefault="00343567" w:rsidP="00624FC0">
      <w:pPr>
        <w:ind w:left="720"/>
        <w:rPr>
          <w:rFonts w:eastAsia="Arial"/>
          <w:sz w:val="22"/>
          <w:szCs w:val="22"/>
        </w:rPr>
      </w:pPr>
      <w:bookmarkStart w:id="39" w:name="_3tbugp1" w:colFirst="0" w:colLast="0"/>
      <w:bookmarkEnd w:id="39"/>
      <w:r w:rsidRPr="0057142E">
        <w:rPr>
          <w:rFonts w:eastAsia="Arial"/>
          <w:b/>
          <w:i/>
          <w:sz w:val="22"/>
          <w:szCs w:val="22"/>
        </w:rPr>
        <w:t>Travel and Subsistence for Consultants</w:t>
      </w:r>
      <w:r w:rsidRPr="001363DD">
        <w:rPr>
          <w:rFonts w:eastAsia="Arial"/>
          <w:sz w:val="22"/>
          <w:szCs w:val="22"/>
        </w:rPr>
        <w:t>: Reasonable expenses may be reimbursed.</w:t>
      </w:r>
    </w:p>
    <w:p w14:paraId="54183DF2" w14:textId="77777777" w:rsidR="00BC10B9" w:rsidRPr="001363DD" w:rsidRDefault="00BC10B9" w:rsidP="002E038D">
      <w:pPr>
        <w:ind w:left="1080"/>
        <w:rPr>
          <w:rFonts w:eastAsia="Arial"/>
          <w:b/>
          <w:sz w:val="22"/>
          <w:szCs w:val="22"/>
        </w:rPr>
      </w:pPr>
    </w:p>
    <w:p w14:paraId="410D4B06" w14:textId="4DFB16B9" w:rsidR="00BC10B9" w:rsidRDefault="00343567" w:rsidP="00FE4329">
      <w:pPr>
        <w:spacing w:before="120"/>
        <w:ind w:left="720"/>
        <w:rPr>
          <w:rFonts w:eastAsia="Arial"/>
          <w:b/>
          <w:caps/>
          <w:sz w:val="22"/>
          <w:szCs w:val="22"/>
        </w:rPr>
      </w:pPr>
      <w:bookmarkStart w:id="40" w:name="_28h4qwu" w:colFirst="0" w:colLast="0"/>
      <w:bookmarkEnd w:id="40"/>
      <w:r w:rsidRPr="0057142E">
        <w:rPr>
          <w:rFonts w:eastAsia="Arial"/>
          <w:b/>
          <w:caps/>
          <w:sz w:val="22"/>
          <w:szCs w:val="22"/>
        </w:rPr>
        <w:t>Travel</w:t>
      </w:r>
    </w:p>
    <w:p w14:paraId="532A2B2D" w14:textId="29384A1B" w:rsidR="00BC10B9" w:rsidRPr="001363DD" w:rsidRDefault="00343567" w:rsidP="0057142E">
      <w:pPr>
        <w:ind w:left="720"/>
        <w:rPr>
          <w:rFonts w:eastAsia="Arial"/>
          <w:sz w:val="22"/>
          <w:szCs w:val="22"/>
        </w:rPr>
      </w:pPr>
      <w:r w:rsidRPr="001363DD">
        <w:rPr>
          <w:rFonts w:eastAsia="Arial"/>
          <w:sz w:val="22"/>
          <w:szCs w:val="22"/>
        </w:rPr>
        <w:t>Itemize total travel expenses of project personnel by local mileage, non-local mil</w:t>
      </w:r>
      <w:r w:rsidR="0057142E">
        <w:rPr>
          <w:rFonts w:eastAsia="Arial"/>
          <w:sz w:val="22"/>
          <w:szCs w:val="22"/>
        </w:rPr>
        <w:t xml:space="preserve">eage, and subsistence (food + </w:t>
      </w:r>
      <w:r w:rsidRPr="001363DD">
        <w:rPr>
          <w:rFonts w:eastAsia="Arial"/>
          <w:sz w:val="22"/>
          <w:szCs w:val="22"/>
        </w:rPr>
        <w:t>lodging). If the applicant does not have an established local</w:t>
      </w:r>
      <w:r w:rsidR="0057142E">
        <w:rPr>
          <w:rFonts w:eastAsia="Arial"/>
          <w:sz w:val="22"/>
          <w:szCs w:val="22"/>
        </w:rPr>
        <w:t xml:space="preserve"> travel</w:t>
      </w:r>
      <w:r w:rsidRPr="001363DD">
        <w:rPr>
          <w:rFonts w:eastAsia="Arial"/>
          <w:sz w:val="22"/>
          <w:szCs w:val="22"/>
        </w:rPr>
        <w:t xml:space="preserve"> policy, then the applicant must adher</w:t>
      </w:r>
      <w:r w:rsidR="0057142E">
        <w:rPr>
          <w:rFonts w:eastAsia="Arial"/>
          <w:sz w:val="22"/>
          <w:szCs w:val="22"/>
        </w:rPr>
        <w:t xml:space="preserve">e to </w:t>
      </w:r>
      <w:r w:rsidR="00FF2B27">
        <w:rPr>
          <w:rFonts w:eastAsia="Arial"/>
          <w:sz w:val="22"/>
          <w:szCs w:val="22"/>
        </w:rPr>
        <w:t>federal/</w:t>
      </w:r>
      <w:r w:rsidR="0057142E">
        <w:rPr>
          <w:rFonts w:eastAsia="Arial"/>
          <w:sz w:val="22"/>
          <w:szCs w:val="22"/>
        </w:rPr>
        <w:t xml:space="preserve">state travel policy. If </w:t>
      </w:r>
      <w:r w:rsidRPr="001363DD">
        <w:rPr>
          <w:rFonts w:eastAsia="Arial"/>
          <w:sz w:val="22"/>
          <w:szCs w:val="22"/>
        </w:rPr>
        <w:t xml:space="preserve">local travel </w:t>
      </w:r>
      <w:r w:rsidR="0057142E">
        <w:rPr>
          <w:rFonts w:eastAsia="Arial"/>
          <w:sz w:val="22"/>
          <w:szCs w:val="22"/>
        </w:rPr>
        <w:t>policy</w:t>
      </w:r>
      <w:r w:rsidRPr="001363DD">
        <w:rPr>
          <w:rFonts w:eastAsia="Arial"/>
          <w:sz w:val="22"/>
          <w:szCs w:val="22"/>
        </w:rPr>
        <w:t xml:space="preserve"> differ</w:t>
      </w:r>
      <w:r w:rsidR="0057142E">
        <w:rPr>
          <w:rFonts w:eastAsia="Arial"/>
          <w:sz w:val="22"/>
          <w:szCs w:val="22"/>
        </w:rPr>
        <w:t>s</w:t>
      </w:r>
      <w:r w:rsidR="00FF2B27">
        <w:rPr>
          <w:rFonts w:eastAsia="Arial"/>
          <w:sz w:val="22"/>
          <w:szCs w:val="22"/>
        </w:rPr>
        <w:t xml:space="preserve"> from the federal/</w:t>
      </w:r>
      <w:r w:rsidRPr="001363DD">
        <w:rPr>
          <w:rFonts w:eastAsia="Arial"/>
          <w:sz w:val="22"/>
          <w:szCs w:val="22"/>
        </w:rPr>
        <w:t>state travel policy, please provide or describe th</w:t>
      </w:r>
      <w:r w:rsidR="0057142E">
        <w:rPr>
          <w:rFonts w:eastAsia="Arial"/>
          <w:sz w:val="22"/>
          <w:szCs w:val="22"/>
        </w:rPr>
        <w:t>e policy in the justification. R</w:t>
      </w:r>
      <w:r w:rsidRPr="001363DD">
        <w:rPr>
          <w:rFonts w:eastAsia="Arial"/>
          <w:sz w:val="22"/>
          <w:szCs w:val="22"/>
        </w:rPr>
        <w:t>efer to the following</w:t>
      </w:r>
      <w:r w:rsidR="00FF2B27">
        <w:rPr>
          <w:rFonts w:eastAsia="Arial"/>
          <w:sz w:val="22"/>
          <w:szCs w:val="22"/>
        </w:rPr>
        <w:t xml:space="preserve"> U.S.</w:t>
      </w:r>
      <w:r w:rsidRPr="001363DD">
        <w:rPr>
          <w:rFonts w:eastAsia="Arial"/>
          <w:sz w:val="22"/>
          <w:szCs w:val="22"/>
        </w:rPr>
        <w:t xml:space="preserve"> General Services Administration (GSA) and </w:t>
      </w:r>
      <w:r w:rsidR="00FF2B27">
        <w:rPr>
          <w:rFonts w:eastAsia="Arial"/>
          <w:sz w:val="22"/>
          <w:szCs w:val="22"/>
        </w:rPr>
        <w:t xml:space="preserve">Virginia </w:t>
      </w:r>
      <w:r w:rsidRPr="001363DD">
        <w:rPr>
          <w:rFonts w:eastAsia="Arial"/>
          <w:sz w:val="22"/>
          <w:szCs w:val="22"/>
        </w:rPr>
        <w:t>Department of Accounts (DOA) websites for the most current travel rates</w:t>
      </w:r>
      <w:r w:rsidR="00FF2B27">
        <w:rPr>
          <w:rFonts w:eastAsia="Arial"/>
          <w:sz w:val="22"/>
          <w:szCs w:val="22"/>
        </w:rPr>
        <w:t xml:space="preserve"> and policies</w:t>
      </w:r>
      <w:r w:rsidRPr="001363DD">
        <w:rPr>
          <w:rFonts w:eastAsia="Arial"/>
          <w:sz w:val="22"/>
          <w:szCs w:val="22"/>
        </w:rPr>
        <w:t>:</w:t>
      </w:r>
    </w:p>
    <w:p w14:paraId="13C740EE" w14:textId="5195676F" w:rsidR="00BC10B9" w:rsidRDefault="0020603E" w:rsidP="0057142E">
      <w:pPr>
        <w:ind w:left="720"/>
        <w:rPr>
          <w:rFonts w:eastAsia="Arial"/>
          <w:sz w:val="22"/>
          <w:szCs w:val="22"/>
        </w:rPr>
      </w:pPr>
      <w:hyperlink r:id="rId26" w:history="1">
        <w:r w:rsidR="00FE4329" w:rsidRPr="00F02EA7">
          <w:rPr>
            <w:rStyle w:val="Hyperlink"/>
            <w:rFonts w:eastAsia="Arial"/>
            <w:sz w:val="22"/>
            <w:szCs w:val="22"/>
          </w:rPr>
          <w:t>www.gsa.gov/travel/plan-book/per-diem-rates</w:t>
        </w:r>
      </w:hyperlink>
    </w:p>
    <w:p w14:paraId="5E12AD4C" w14:textId="5780421F" w:rsidR="00FF2B27" w:rsidRDefault="0020603E" w:rsidP="0057142E">
      <w:pPr>
        <w:ind w:left="720"/>
        <w:rPr>
          <w:rFonts w:eastAsia="Arial"/>
          <w:sz w:val="22"/>
          <w:szCs w:val="22"/>
        </w:rPr>
      </w:pPr>
      <w:hyperlink r:id="rId27" w:history="1">
        <w:r w:rsidR="00FE4329" w:rsidRPr="00F02EA7">
          <w:rPr>
            <w:rStyle w:val="Hyperlink"/>
            <w:rFonts w:eastAsia="Arial"/>
            <w:sz w:val="22"/>
            <w:szCs w:val="22"/>
          </w:rPr>
          <w:t>www.doa.virginia.gov/reference/CAPP/CAPP_Topics/20335-2015.pdf</w:t>
        </w:r>
      </w:hyperlink>
    </w:p>
    <w:p w14:paraId="0D8F175A" w14:textId="77777777" w:rsidR="00BC10B9" w:rsidRPr="001363DD" w:rsidRDefault="00BC10B9" w:rsidP="0057142E">
      <w:pPr>
        <w:ind w:left="720"/>
        <w:rPr>
          <w:rFonts w:eastAsia="Arial"/>
          <w:sz w:val="22"/>
          <w:szCs w:val="22"/>
        </w:rPr>
      </w:pPr>
    </w:p>
    <w:p w14:paraId="457F89E6" w14:textId="151978F9" w:rsidR="00B264A0" w:rsidRDefault="00FF2B27" w:rsidP="00B226CB">
      <w:pPr>
        <w:ind w:left="720"/>
        <w:rPr>
          <w:rFonts w:eastAsia="Arial"/>
          <w:sz w:val="22"/>
          <w:szCs w:val="22"/>
        </w:rPr>
      </w:pPr>
      <w:r>
        <w:rPr>
          <w:rFonts w:eastAsia="Arial"/>
          <w:sz w:val="22"/>
          <w:szCs w:val="22"/>
        </w:rPr>
        <w:t>A</w:t>
      </w:r>
      <w:r w:rsidR="00343567" w:rsidRPr="001363DD">
        <w:rPr>
          <w:rFonts w:eastAsia="Arial"/>
          <w:sz w:val="22"/>
          <w:szCs w:val="22"/>
        </w:rPr>
        <w:t>pplicant</w:t>
      </w:r>
      <w:r>
        <w:rPr>
          <w:rFonts w:eastAsia="Arial"/>
          <w:sz w:val="22"/>
          <w:szCs w:val="22"/>
        </w:rPr>
        <w:t>s</w:t>
      </w:r>
      <w:r w:rsidR="00343567" w:rsidRPr="001363DD">
        <w:rPr>
          <w:rFonts w:eastAsia="Arial"/>
          <w:sz w:val="22"/>
          <w:szCs w:val="22"/>
        </w:rPr>
        <w:t xml:space="preserve"> must clearly explain the basis for all calculations. Justify travel by explaining why costs are </w:t>
      </w:r>
      <w:r w:rsidR="00343567" w:rsidRPr="00B264A0">
        <w:rPr>
          <w:rFonts w:eastAsia="Arial"/>
          <w:sz w:val="22"/>
          <w:szCs w:val="22"/>
        </w:rPr>
        <w:t>necessary and essential</w:t>
      </w:r>
      <w:r w:rsidR="00343567" w:rsidRPr="001363DD">
        <w:rPr>
          <w:rFonts w:eastAsia="Arial"/>
          <w:sz w:val="22"/>
          <w:szCs w:val="22"/>
        </w:rPr>
        <w:t xml:space="preserve"> to providing direct services to victims</w:t>
      </w:r>
      <w:r w:rsidR="00B226CB">
        <w:rPr>
          <w:rFonts w:eastAsia="Arial"/>
          <w:sz w:val="22"/>
          <w:szCs w:val="22"/>
        </w:rPr>
        <w:t>,</w:t>
      </w:r>
      <w:r w:rsidR="00343567" w:rsidRPr="001363DD">
        <w:rPr>
          <w:rFonts w:eastAsia="Arial"/>
          <w:sz w:val="22"/>
          <w:szCs w:val="22"/>
        </w:rPr>
        <w:t xml:space="preserve"> or by documenting that grant funds will be used exclusively for developing the skills of direct service providers so that they are better able to offer qual</w:t>
      </w:r>
      <w:r w:rsidR="00B264A0">
        <w:rPr>
          <w:rFonts w:eastAsia="Arial"/>
          <w:sz w:val="22"/>
          <w:szCs w:val="22"/>
        </w:rPr>
        <w:t>ity services to crime victims.</w:t>
      </w:r>
      <w:r w:rsidR="00B226CB">
        <w:rPr>
          <w:rFonts w:eastAsia="Arial"/>
          <w:sz w:val="22"/>
          <w:szCs w:val="22"/>
        </w:rPr>
        <w:t xml:space="preserve"> VOCA grant funds can support skills training for </w:t>
      </w:r>
      <w:r w:rsidR="00A8140A">
        <w:rPr>
          <w:rFonts w:eastAsia="Arial"/>
          <w:sz w:val="22"/>
          <w:szCs w:val="22"/>
        </w:rPr>
        <w:t>“</w:t>
      </w:r>
      <w:r w:rsidR="00B264A0" w:rsidRPr="00B264A0">
        <w:rPr>
          <w:rFonts w:eastAsia="Arial"/>
          <w:sz w:val="22"/>
          <w:szCs w:val="22"/>
        </w:rPr>
        <w:t>direct service providers, including paid staff and volunteers (both VOCA-funded and not), so that they are better able to offer quality direct services, including, but not limited to, manuals, books, videoconferencing, electronic training resources, and other materials and reso</w:t>
      </w:r>
      <w:r w:rsidR="00B226CB">
        <w:rPr>
          <w:rFonts w:eastAsia="Arial"/>
          <w:sz w:val="22"/>
          <w:szCs w:val="22"/>
        </w:rPr>
        <w:t>urces relating to such training</w:t>
      </w:r>
      <w:r w:rsidR="00A8140A">
        <w:rPr>
          <w:rFonts w:eastAsia="Arial"/>
          <w:sz w:val="22"/>
          <w:szCs w:val="22"/>
        </w:rPr>
        <w:t>”</w:t>
      </w:r>
      <w:r w:rsidR="00B226CB">
        <w:rPr>
          <w:rFonts w:eastAsia="Arial"/>
          <w:sz w:val="22"/>
          <w:szCs w:val="22"/>
        </w:rPr>
        <w:t xml:space="preserve"> (28 CFR 94.121(b)). VOCA grant funds can also support training-related travel, meals, lodging, and registration fees.</w:t>
      </w:r>
    </w:p>
    <w:p w14:paraId="48DA0ADB" w14:textId="77777777" w:rsidR="00B226CB" w:rsidRDefault="00B226CB" w:rsidP="00B226CB">
      <w:pPr>
        <w:ind w:left="720"/>
        <w:rPr>
          <w:rFonts w:eastAsia="Arial"/>
          <w:sz w:val="22"/>
          <w:szCs w:val="22"/>
        </w:rPr>
      </w:pPr>
    </w:p>
    <w:p w14:paraId="6FDF4647" w14:textId="356D993E" w:rsidR="00B226CB" w:rsidRPr="001363DD" w:rsidRDefault="00B226CB" w:rsidP="00B226CB">
      <w:pPr>
        <w:ind w:left="720"/>
        <w:rPr>
          <w:rFonts w:eastAsia="Arial"/>
          <w:sz w:val="22"/>
          <w:szCs w:val="22"/>
        </w:rPr>
      </w:pPr>
      <w:r w:rsidRPr="001363DD">
        <w:rPr>
          <w:rFonts w:eastAsia="Arial"/>
          <w:sz w:val="22"/>
          <w:szCs w:val="22"/>
        </w:rPr>
        <w:t xml:space="preserve">DCJS will consider requests to support attendance at appropriate national training conferences. Applicants must document that the requested training is needed and is unavailable within the state. </w:t>
      </w:r>
      <w:r w:rsidRPr="00B226CB">
        <w:rPr>
          <w:rFonts w:eastAsia="Arial"/>
          <w:b/>
          <w:sz w:val="22"/>
          <w:szCs w:val="22"/>
        </w:rPr>
        <w:t>Registration fee expenses</w:t>
      </w:r>
      <w:r w:rsidRPr="001363DD">
        <w:rPr>
          <w:rFonts w:eastAsia="Arial"/>
          <w:sz w:val="22"/>
          <w:szCs w:val="22"/>
        </w:rPr>
        <w:t xml:space="preserve"> should be detailed in the </w:t>
      </w:r>
      <w:r w:rsidR="00A8140A">
        <w:rPr>
          <w:rFonts w:eastAsia="Arial"/>
          <w:sz w:val="22"/>
          <w:szCs w:val="22"/>
        </w:rPr>
        <w:t>“</w:t>
      </w:r>
      <w:r w:rsidRPr="001363DD">
        <w:rPr>
          <w:rFonts w:eastAsia="Arial"/>
          <w:sz w:val="22"/>
          <w:szCs w:val="22"/>
        </w:rPr>
        <w:t>Supplies and Other Expenses</w:t>
      </w:r>
      <w:r w:rsidR="00A8140A">
        <w:rPr>
          <w:rFonts w:eastAsia="Arial"/>
          <w:sz w:val="22"/>
          <w:szCs w:val="22"/>
        </w:rPr>
        <w:t>”</w:t>
      </w:r>
      <w:r w:rsidRPr="001363DD">
        <w:rPr>
          <w:rFonts w:eastAsia="Arial"/>
          <w:sz w:val="22"/>
          <w:szCs w:val="22"/>
        </w:rPr>
        <w:t xml:space="preserve"> category. DCJS will approve requests for funds to support out-of-state travel, or airfares to attend training conferences, with adequate justification. Applicants should demonstrate that attendance is cost effective and will facilitate essential improvements in service delivery.</w:t>
      </w:r>
    </w:p>
    <w:p w14:paraId="63980003" w14:textId="77777777" w:rsidR="00B226CB" w:rsidRPr="001363DD" w:rsidRDefault="00B226CB" w:rsidP="00B226CB">
      <w:pPr>
        <w:ind w:left="720"/>
        <w:rPr>
          <w:rFonts w:eastAsia="Arial"/>
          <w:sz w:val="22"/>
          <w:szCs w:val="22"/>
        </w:rPr>
      </w:pPr>
    </w:p>
    <w:p w14:paraId="5945546C" w14:textId="77777777" w:rsidR="00BC10B9" w:rsidRPr="001363DD" w:rsidRDefault="00343567" w:rsidP="0057142E">
      <w:pPr>
        <w:ind w:left="720"/>
        <w:rPr>
          <w:rFonts w:eastAsia="Arial"/>
          <w:sz w:val="22"/>
          <w:szCs w:val="22"/>
        </w:rPr>
      </w:pPr>
      <w:r w:rsidRPr="00B226CB">
        <w:rPr>
          <w:rFonts w:eastAsia="Arial"/>
          <w:b/>
          <w:sz w:val="22"/>
          <w:szCs w:val="22"/>
        </w:rPr>
        <w:t>Local mileage</w:t>
      </w:r>
      <w:r w:rsidRPr="001363DD">
        <w:rPr>
          <w:rFonts w:eastAsia="Arial"/>
          <w:sz w:val="22"/>
          <w:szCs w:val="22"/>
        </w:rPr>
        <w:t xml:space="preserve"> is considered travel within the immediate service area (satellite of</w:t>
      </w:r>
      <w:r w:rsidR="00B226CB">
        <w:rPr>
          <w:rFonts w:eastAsia="Arial"/>
          <w:sz w:val="22"/>
          <w:szCs w:val="22"/>
        </w:rPr>
        <w:t xml:space="preserve">fices, court, meetings, etc.). </w:t>
      </w:r>
      <w:r w:rsidRPr="00B226CB">
        <w:rPr>
          <w:rFonts w:eastAsia="Arial"/>
          <w:b/>
          <w:sz w:val="22"/>
          <w:szCs w:val="22"/>
        </w:rPr>
        <w:t>Non-local mileage</w:t>
      </w:r>
      <w:r w:rsidRPr="001363DD">
        <w:rPr>
          <w:rFonts w:eastAsia="Arial"/>
          <w:sz w:val="22"/>
          <w:szCs w:val="22"/>
        </w:rPr>
        <w:t xml:space="preserve"> is outside of the immediate service area (trainings, </w:t>
      </w:r>
      <w:r w:rsidR="00B226CB">
        <w:rPr>
          <w:rFonts w:eastAsia="Arial"/>
          <w:sz w:val="22"/>
          <w:szCs w:val="22"/>
        </w:rPr>
        <w:t>c</w:t>
      </w:r>
      <w:r w:rsidRPr="001363DD">
        <w:rPr>
          <w:rFonts w:eastAsia="Arial"/>
          <w:sz w:val="22"/>
          <w:szCs w:val="22"/>
        </w:rPr>
        <w:t>onferences, meetings, etc.). Include a description for each request and justify</w:t>
      </w:r>
      <w:r w:rsidR="00B226CB">
        <w:rPr>
          <w:rFonts w:eastAsia="Arial"/>
          <w:sz w:val="22"/>
          <w:szCs w:val="22"/>
        </w:rPr>
        <w:t xml:space="preserve"> why the request is necessary.</w:t>
      </w:r>
    </w:p>
    <w:p w14:paraId="53C48B33" w14:textId="77777777" w:rsidR="00E35E25" w:rsidRPr="001363DD" w:rsidRDefault="00E35E25" w:rsidP="0057142E">
      <w:pPr>
        <w:ind w:left="720"/>
        <w:rPr>
          <w:rFonts w:eastAsia="Arial"/>
          <w:sz w:val="22"/>
          <w:szCs w:val="22"/>
        </w:rPr>
      </w:pPr>
    </w:p>
    <w:p w14:paraId="129B0087" w14:textId="77777777" w:rsidR="00BC10B9" w:rsidRPr="00B226CB" w:rsidRDefault="00343567" w:rsidP="00FE4329">
      <w:pPr>
        <w:spacing w:before="120"/>
        <w:ind w:left="720"/>
        <w:rPr>
          <w:rFonts w:eastAsia="Arial"/>
          <w:b/>
          <w:caps/>
          <w:sz w:val="22"/>
          <w:szCs w:val="22"/>
        </w:rPr>
      </w:pPr>
      <w:bookmarkStart w:id="41" w:name="_46r0co2" w:colFirst="0" w:colLast="0"/>
      <w:bookmarkEnd w:id="41"/>
      <w:r w:rsidRPr="00B226CB">
        <w:rPr>
          <w:rFonts w:eastAsia="Arial"/>
          <w:b/>
          <w:caps/>
          <w:sz w:val="22"/>
          <w:szCs w:val="22"/>
        </w:rPr>
        <w:t>Equipment</w:t>
      </w:r>
    </w:p>
    <w:p w14:paraId="39237DA9" w14:textId="4E6AC63C" w:rsidR="00385BF5" w:rsidRDefault="00385BF5" w:rsidP="00B226CB">
      <w:pPr>
        <w:ind w:left="720"/>
        <w:rPr>
          <w:rFonts w:eastAsia="Arial"/>
          <w:sz w:val="22"/>
          <w:szCs w:val="22"/>
        </w:rPr>
      </w:pPr>
      <w:r>
        <w:rPr>
          <w:rFonts w:eastAsia="Arial"/>
          <w:sz w:val="22"/>
          <w:szCs w:val="22"/>
        </w:rPr>
        <w:lastRenderedPageBreak/>
        <w:t>According to the Department of Justice</w:t>
      </w:r>
      <w:r w:rsidR="00A8140A">
        <w:rPr>
          <w:rFonts w:eastAsia="Arial"/>
          <w:sz w:val="22"/>
          <w:szCs w:val="22"/>
        </w:rPr>
        <w:t>’</w:t>
      </w:r>
      <w:r>
        <w:rPr>
          <w:rFonts w:eastAsia="Arial"/>
          <w:sz w:val="22"/>
          <w:szCs w:val="22"/>
        </w:rPr>
        <w:t xml:space="preserve">s Financial Guide, </w:t>
      </w:r>
      <w:r w:rsidR="00A8140A">
        <w:rPr>
          <w:rFonts w:eastAsia="Arial"/>
          <w:sz w:val="22"/>
          <w:szCs w:val="22"/>
        </w:rPr>
        <w:t>“</w:t>
      </w:r>
      <w:r>
        <w:rPr>
          <w:rFonts w:eastAsia="Arial"/>
          <w:sz w:val="22"/>
          <w:szCs w:val="22"/>
        </w:rPr>
        <w:t>equipment means tangible personal property (including information technology systems) having 1) a useful life of more than one year and 2) a per-unit acquisition cost of $5,000 or greater.</w:t>
      </w:r>
      <w:r w:rsidR="00A8140A">
        <w:rPr>
          <w:rFonts w:eastAsia="Arial"/>
          <w:sz w:val="22"/>
          <w:szCs w:val="22"/>
        </w:rPr>
        <w:t>”</w:t>
      </w:r>
      <w:r>
        <w:rPr>
          <w:rFonts w:eastAsia="Arial"/>
          <w:sz w:val="22"/>
          <w:szCs w:val="22"/>
        </w:rPr>
        <w:t xml:space="preserve"> </w:t>
      </w:r>
    </w:p>
    <w:p w14:paraId="6A9E9101" w14:textId="77777777" w:rsidR="00385BF5" w:rsidRDefault="00385BF5" w:rsidP="00B226CB">
      <w:pPr>
        <w:ind w:left="720"/>
        <w:rPr>
          <w:rFonts w:eastAsia="Arial"/>
          <w:sz w:val="22"/>
          <w:szCs w:val="22"/>
        </w:rPr>
      </w:pPr>
    </w:p>
    <w:p w14:paraId="5F6FFFE7" w14:textId="10E98BA2" w:rsidR="00BC10B9" w:rsidRPr="001363DD" w:rsidRDefault="00343567" w:rsidP="00B226CB">
      <w:pPr>
        <w:ind w:left="720"/>
        <w:rPr>
          <w:rFonts w:eastAsia="Arial"/>
          <w:sz w:val="22"/>
          <w:szCs w:val="22"/>
        </w:rPr>
      </w:pPr>
      <w:r w:rsidRPr="001363DD">
        <w:rPr>
          <w:rFonts w:eastAsia="Arial"/>
          <w:sz w:val="22"/>
          <w:szCs w:val="22"/>
        </w:rPr>
        <w:t xml:space="preserve">Each major item to be purchased must be listed separately with unit cost. List each item to be leased or rented with the cost associated with the lease or rental. Justify equipment expenses by documenting that items will enhance direct services to crime victims. Grant funds cannot support the entire cost of an item that is not used exclusively for </w:t>
      </w:r>
      <w:r w:rsidR="00B226CB">
        <w:rPr>
          <w:rFonts w:eastAsia="Arial"/>
          <w:sz w:val="22"/>
          <w:szCs w:val="22"/>
        </w:rPr>
        <w:t>victim related activities; h</w:t>
      </w:r>
      <w:r w:rsidRPr="001363DD">
        <w:rPr>
          <w:rFonts w:eastAsia="Arial"/>
          <w:sz w:val="22"/>
          <w:szCs w:val="22"/>
        </w:rPr>
        <w:t xml:space="preserve">owever, grant funds can support a pro-rated share of such an item. </w:t>
      </w:r>
    </w:p>
    <w:p w14:paraId="66B917FC" w14:textId="77777777" w:rsidR="00BC10B9" w:rsidRPr="001363DD" w:rsidRDefault="00BC10B9" w:rsidP="00B226CB">
      <w:pPr>
        <w:ind w:left="720"/>
        <w:rPr>
          <w:rFonts w:eastAsia="Arial"/>
          <w:sz w:val="22"/>
          <w:szCs w:val="22"/>
        </w:rPr>
      </w:pPr>
    </w:p>
    <w:p w14:paraId="65D9FAEE" w14:textId="77777777" w:rsidR="00BC10B9" w:rsidRDefault="00343567" w:rsidP="00B226CB">
      <w:pPr>
        <w:ind w:left="720"/>
        <w:rPr>
          <w:rFonts w:eastAsia="Arial"/>
          <w:sz w:val="22"/>
          <w:szCs w:val="22"/>
        </w:rPr>
      </w:pPr>
      <w:r w:rsidRPr="001363DD">
        <w:rPr>
          <w:rFonts w:eastAsia="Arial"/>
          <w:sz w:val="22"/>
          <w:szCs w:val="22"/>
        </w:rPr>
        <w:t>Any equipment requests must include a written estimate of cost and local cont</w:t>
      </w:r>
      <w:r w:rsidR="00B226CB">
        <w:rPr>
          <w:rFonts w:eastAsia="Arial"/>
          <w:sz w:val="22"/>
          <w:szCs w:val="22"/>
        </w:rPr>
        <w:t xml:space="preserve">ract guidelines, if necessary. </w:t>
      </w:r>
      <w:r w:rsidRPr="001363DD">
        <w:rPr>
          <w:rFonts w:eastAsia="Arial"/>
          <w:sz w:val="22"/>
          <w:szCs w:val="22"/>
        </w:rPr>
        <w:t>Applicants must document the necessity and cost effective</w:t>
      </w:r>
      <w:r w:rsidR="00B226CB">
        <w:rPr>
          <w:rFonts w:eastAsia="Arial"/>
          <w:sz w:val="22"/>
          <w:szCs w:val="22"/>
        </w:rPr>
        <w:t>ness of requested expenditures.</w:t>
      </w:r>
    </w:p>
    <w:p w14:paraId="767C7B3D" w14:textId="77777777" w:rsidR="00B226CB" w:rsidRPr="001363DD" w:rsidRDefault="00B226CB" w:rsidP="00B226CB">
      <w:pPr>
        <w:ind w:left="720"/>
        <w:rPr>
          <w:rFonts w:eastAsia="Arial"/>
          <w:sz w:val="22"/>
          <w:szCs w:val="22"/>
        </w:rPr>
      </w:pPr>
    </w:p>
    <w:p w14:paraId="617766F0" w14:textId="4E58ADDA" w:rsidR="00BC10B9" w:rsidRDefault="00343567" w:rsidP="00B226CB">
      <w:pPr>
        <w:ind w:left="720"/>
        <w:rPr>
          <w:rFonts w:eastAsia="Arial"/>
          <w:sz w:val="22"/>
          <w:szCs w:val="22"/>
        </w:rPr>
      </w:pPr>
      <w:r w:rsidRPr="001363DD">
        <w:rPr>
          <w:rFonts w:eastAsia="Arial"/>
          <w:sz w:val="22"/>
          <w:szCs w:val="22"/>
        </w:rPr>
        <w:t xml:space="preserve">If equipment is requested to replace outdated or </w:t>
      </w:r>
      <w:r w:rsidR="00A8140A">
        <w:rPr>
          <w:rFonts w:eastAsia="Arial"/>
          <w:sz w:val="22"/>
          <w:szCs w:val="22"/>
        </w:rPr>
        <w:t>“</w:t>
      </w:r>
      <w:r w:rsidRPr="001363DD">
        <w:rPr>
          <w:rFonts w:eastAsia="Arial"/>
          <w:sz w:val="22"/>
          <w:szCs w:val="22"/>
        </w:rPr>
        <w:t>old</w:t>
      </w:r>
      <w:r w:rsidR="00A8140A">
        <w:rPr>
          <w:rFonts w:eastAsia="Arial"/>
          <w:sz w:val="22"/>
          <w:szCs w:val="22"/>
        </w:rPr>
        <w:t>”</w:t>
      </w:r>
      <w:r w:rsidRPr="001363DD">
        <w:rPr>
          <w:rFonts w:eastAsia="Arial"/>
          <w:sz w:val="22"/>
          <w:szCs w:val="22"/>
        </w:rPr>
        <w:t xml:space="preserve"> equipment, please briefly describe why replacement is necessary and when the </w:t>
      </w:r>
      <w:r w:rsidR="00A8140A">
        <w:rPr>
          <w:rFonts w:eastAsia="Arial"/>
          <w:sz w:val="22"/>
          <w:szCs w:val="22"/>
        </w:rPr>
        <w:t>“</w:t>
      </w:r>
      <w:r w:rsidRPr="001363DD">
        <w:rPr>
          <w:rFonts w:eastAsia="Arial"/>
          <w:sz w:val="22"/>
          <w:szCs w:val="22"/>
        </w:rPr>
        <w:t>old</w:t>
      </w:r>
      <w:r w:rsidR="00A8140A">
        <w:rPr>
          <w:rFonts w:eastAsia="Arial"/>
          <w:sz w:val="22"/>
          <w:szCs w:val="22"/>
        </w:rPr>
        <w:t>”</w:t>
      </w:r>
      <w:r w:rsidRPr="001363DD">
        <w:rPr>
          <w:rFonts w:eastAsia="Arial"/>
          <w:sz w:val="22"/>
          <w:szCs w:val="22"/>
        </w:rPr>
        <w:t xml:space="preserve"> equipment was acquired.</w:t>
      </w:r>
    </w:p>
    <w:p w14:paraId="036F4F1D" w14:textId="77777777" w:rsidR="00BC10B9" w:rsidRPr="001363DD" w:rsidRDefault="00BC10B9" w:rsidP="002E038D">
      <w:pPr>
        <w:ind w:left="1080"/>
        <w:rPr>
          <w:rFonts w:eastAsia="Arial"/>
          <w:color w:val="000000"/>
          <w:sz w:val="22"/>
          <w:szCs w:val="22"/>
        </w:rPr>
      </w:pPr>
    </w:p>
    <w:p w14:paraId="603ABD10" w14:textId="77777777" w:rsidR="00BC10B9" w:rsidRPr="00D24CB3" w:rsidRDefault="00343567" w:rsidP="00FE4329">
      <w:pPr>
        <w:spacing w:before="120"/>
        <w:ind w:left="720"/>
        <w:rPr>
          <w:rFonts w:eastAsia="Arial"/>
          <w:b/>
          <w:caps/>
          <w:sz w:val="22"/>
          <w:szCs w:val="22"/>
        </w:rPr>
      </w:pPr>
      <w:bookmarkStart w:id="42" w:name="_2lwamvv" w:colFirst="0" w:colLast="0"/>
      <w:bookmarkEnd w:id="42"/>
      <w:r w:rsidRPr="00D24CB3">
        <w:rPr>
          <w:rFonts w:eastAsia="Arial"/>
          <w:b/>
          <w:caps/>
          <w:sz w:val="22"/>
          <w:szCs w:val="22"/>
        </w:rPr>
        <w:t>Supplies and Other Operating Expenses</w:t>
      </w:r>
    </w:p>
    <w:p w14:paraId="4873EB20" w14:textId="77777777" w:rsidR="00BC10B9" w:rsidRPr="001363DD" w:rsidRDefault="00343567" w:rsidP="00D24CB3">
      <w:pPr>
        <w:ind w:left="720"/>
        <w:rPr>
          <w:rFonts w:eastAsia="Arial"/>
          <w:sz w:val="22"/>
          <w:szCs w:val="22"/>
        </w:rPr>
      </w:pPr>
      <w:r w:rsidRPr="001363DD">
        <w:rPr>
          <w:rFonts w:eastAsia="Arial"/>
          <w:sz w:val="22"/>
          <w:szCs w:val="22"/>
        </w:rPr>
        <w:t>All costs should be itemized within this category by major types (e.g., offi</w:t>
      </w:r>
      <w:r w:rsidR="00D24CB3">
        <w:rPr>
          <w:rFonts w:eastAsia="Arial"/>
          <w:sz w:val="22"/>
          <w:szCs w:val="22"/>
        </w:rPr>
        <w:t>ce supplies, equipment use fees</w:t>
      </w:r>
      <w:r w:rsidRPr="001363DD">
        <w:rPr>
          <w:rFonts w:eastAsia="Arial"/>
          <w:sz w:val="22"/>
          <w:szCs w:val="22"/>
        </w:rPr>
        <w:t xml:space="preserve"> when supported by usage logs, printing, photocopying, postage, brochures, books and other victim-related materials, and telephone).</w:t>
      </w:r>
    </w:p>
    <w:p w14:paraId="220FFC13" w14:textId="77777777" w:rsidR="00BC10B9" w:rsidRPr="001363DD" w:rsidRDefault="00BC10B9" w:rsidP="00D24CB3">
      <w:pPr>
        <w:ind w:left="720"/>
        <w:rPr>
          <w:rFonts w:eastAsia="Arial"/>
          <w:sz w:val="22"/>
          <w:szCs w:val="22"/>
        </w:rPr>
      </w:pPr>
    </w:p>
    <w:p w14:paraId="5A462963" w14:textId="2331A84F" w:rsidR="00BC10B9" w:rsidRPr="001363DD" w:rsidRDefault="00343567" w:rsidP="00D24CB3">
      <w:pPr>
        <w:ind w:left="720"/>
        <w:rPr>
          <w:rFonts w:eastAsia="Arial"/>
          <w:sz w:val="22"/>
          <w:szCs w:val="22"/>
        </w:rPr>
      </w:pPr>
      <w:r w:rsidRPr="001363DD">
        <w:rPr>
          <w:rFonts w:eastAsia="Arial"/>
          <w:sz w:val="22"/>
          <w:szCs w:val="22"/>
        </w:rPr>
        <w:t>Show the basis for computation (</w:t>
      </w:r>
      <w:r w:rsidR="00A8140A">
        <w:rPr>
          <w:rFonts w:eastAsia="Arial"/>
          <w:sz w:val="22"/>
          <w:szCs w:val="22"/>
        </w:rPr>
        <w:t>“</w:t>
      </w:r>
      <w:r w:rsidRPr="001363DD">
        <w:rPr>
          <w:rFonts w:eastAsia="Arial"/>
          <w:sz w:val="22"/>
          <w:szCs w:val="22"/>
        </w:rPr>
        <w:t>x</w:t>
      </w:r>
      <w:r w:rsidR="00A8140A">
        <w:rPr>
          <w:rFonts w:eastAsia="Arial"/>
          <w:sz w:val="22"/>
          <w:szCs w:val="22"/>
        </w:rPr>
        <w:t>”</w:t>
      </w:r>
      <w:r w:rsidRPr="001363DD">
        <w:rPr>
          <w:rFonts w:eastAsia="Arial"/>
          <w:sz w:val="22"/>
          <w:szCs w:val="22"/>
        </w:rPr>
        <w:t xml:space="preserve"> dollars per month for office supplies; </w:t>
      </w:r>
      <w:r w:rsidR="00A8140A">
        <w:rPr>
          <w:rFonts w:eastAsia="Arial"/>
          <w:sz w:val="22"/>
          <w:szCs w:val="22"/>
        </w:rPr>
        <w:t>“</w:t>
      </w:r>
      <w:r w:rsidRPr="001363DD">
        <w:rPr>
          <w:rFonts w:eastAsia="Arial"/>
          <w:sz w:val="22"/>
          <w:szCs w:val="22"/>
        </w:rPr>
        <w:t>y</w:t>
      </w:r>
      <w:r w:rsidR="00A8140A">
        <w:rPr>
          <w:rFonts w:eastAsia="Arial"/>
          <w:sz w:val="22"/>
          <w:szCs w:val="22"/>
        </w:rPr>
        <w:t>”</w:t>
      </w:r>
      <w:r w:rsidRPr="001363DD">
        <w:rPr>
          <w:rFonts w:eastAsia="Arial"/>
          <w:sz w:val="22"/>
          <w:szCs w:val="22"/>
        </w:rPr>
        <w:t xml:space="preserve"> dollars per person for </w:t>
      </w:r>
      <w:r w:rsidR="00D24CB3">
        <w:rPr>
          <w:rFonts w:eastAsia="Arial"/>
          <w:sz w:val="22"/>
          <w:szCs w:val="22"/>
        </w:rPr>
        <w:t xml:space="preserve">training materials; telephone </w:t>
      </w:r>
      <w:r w:rsidR="00FE4329">
        <w:rPr>
          <w:rFonts w:eastAsia="Arial"/>
          <w:sz w:val="22"/>
          <w:szCs w:val="22"/>
        </w:rPr>
        <w:t>–</w:t>
      </w:r>
      <w:r w:rsidR="00D24CB3">
        <w:rPr>
          <w:rFonts w:eastAsia="Arial"/>
          <w:sz w:val="22"/>
          <w:szCs w:val="22"/>
        </w:rPr>
        <w:t xml:space="preserve"> </w:t>
      </w:r>
      <w:r w:rsidRPr="001363DD">
        <w:rPr>
          <w:rFonts w:eastAsia="Arial"/>
          <w:sz w:val="22"/>
          <w:szCs w:val="22"/>
        </w:rPr>
        <w:t xml:space="preserve">long distance at </w:t>
      </w:r>
      <w:r w:rsidR="00A8140A">
        <w:rPr>
          <w:rFonts w:eastAsia="Arial"/>
          <w:sz w:val="22"/>
          <w:szCs w:val="22"/>
        </w:rPr>
        <w:t>“</w:t>
      </w:r>
      <w:r w:rsidRPr="001363DD">
        <w:rPr>
          <w:rFonts w:eastAsia="Arial"/>
          <w:sz w:val="22"/>
          <w:szCs w:val="22"/>
        </w:rPr>
        <w:t>z</w:t>
      </w:r>
      <w:r w:rsidR="00A8140A">
        <w:rPr>
          <w:rFonts w:eastAsia="Arial"/>
          <w:sz w:val="22"/>
          <w:szCs w:val="22"/>
        </w:rPr>
        <w:t>”</w:t>
      </w:r>
      <w:r w:rsidRPr="001363DD">
        <w:rPr>
          <w:rFonts w:eastAsia="Arial"/>
          <w:sz w:val="22"/>
          <w:szCs w:val="22"/>
        </w:rPr>
        <w:t xml:space="preserve"> dollars per month, etc.). Additionally, the rationale used to determine the basis for each computation should be explained, as appropriate (e.g.</w:t>
      </w:r>
      <w:r w:rsidR="00D24CB3">
        <w:rPr>
          <w:rFonts w:eastAsia="Arial"/>
          <w:sz w:val="22"/>
          <w:szCs w:val="22"/>
        </w:rPr>
        <w:t>,</w:t>
      </w:r>
      <w:r w:rsidRPr="001363DD">
        <w:rPr>
          <w:rFonts w:eastAsia="Arial"/>
          <w:sz w:val="22"/>
          <w:szCs w:val="22"/>
        </w:rPr>
        <w:t xml:space="preserve"> the photocopying cost estimate was determined based on factors including X crime and Y court caseload statistics generating Z anticipated number of copies).</w:t>
      </w:r>
    </w:p>
    <w:p w14:paraId="50AE958D" w14:textId="77777777" w:rsidR="00BC10B9" w:rsidRPr="001363DD" w:rsidRDefault="00BC10B9" w:rsidP="00D24CB3">
      <w:pPr>
        <w:ind w:left="720"/>
        <w:rPr>
          <w:rFonts w:eastAsia="Arial"/>
          <w:sz w:val="22"/>
          <w:szCs w:val="22"/>
        </w:rPr>
      </w:pPr>
    </w:p>
    <w:p w14:paraId="54AC3337" w14:textId="5ED495C7" w:rsidR="00BC10B9" w:rsidRPr="001363DD" w:rsidRDefault="00343567" w:rsidP="00D24CB3">
      <w:pPr>
        <w:ind w:left="720"/>
        <w:rPr>
          <w:rFonts w:eastAsia="Arial"/>
          <w:sz w:val="22"/>
          <w:szCs w:val="22"/>
        </w:rPr>
      </w:pPr>
      <w:r w:rsidRPr="001363DD">
        <w:rPr>
          <w:rFonts w:eastAsia="Arial"/>
          <w:sz w:val="22"/>
          <w:szCs w:val="22"/>
        </w:rPr>
        <w:t>Applicants should document actual expenses for each line item requested</w:t>
      </w:r>
      <w:r w:rsidR="00D24CB3">
        <w:rPr>
          <w:rFonts w:eastAsia="Arial"/>
          <w:sz w:val="22"/>
          <w:szCs w:val="22"/>
        </w:rPr>
        <w:t xml:space="preserve"> when possible</w:t>
      </w:r>
      <w:r w:rsidRPr="001363DD">
        <w:rPr>
          <w:rFonts w:eastAsia="Arial"/>
          <w:sz w:val="22"/>
          <w:szCs w:val="22"/>
        </w:rPr>
        <w:t xml:space="preserve"> (for example: </w:t>
      </w:r>
      <w:r w:rsidR="00A8140A">
        <w:rPr>
          <w:rFonts w:eastAsia="Arial"/>
          <w:sz w:val="22"/>
          <w:szCs w:val="22"/>
        </w:rPr>
        <w:t>“</w:t>
      </w:r>
      <w:r w:rsidRPr="001363DD">
        <w:rPr>
          <w:rFonts w:eastAsia="Arial"/>
          <w:sz w:val="22"/>
          <w:szCs w:val="22"/>
        </w:rPr>
        <w:t>Last year we sp</w:t>
      </w:r>
      <w:r w:rsidR="00D24CB3">
        <w:rPr>
          <w:rFonts w:eastAsia="Arial"/>
          <w:sz w:val="22"/>
          <w:szCs w:val="22"/>
        </w:rPr>
        <w:t>ent $400 on postage. For FY 2020</w:t>
      </w:r>
      <w:r w:rsidRPr="001363DD">
        <w:rPr>
          <w:rFonts w:eastAsia="Arial"/>
          <w:sz w:val="22"/>
          <w:szCs w:val="22"/>
        </w:rPr>
        <w:t>, we anticipate spending $475, due to stamp rate increase.</w:t>
      </w:r>
      <w:r w:rsidR="00A8140A">
        <w:rPr>
          <w:rFonts w:eastAsia="Arial"/>
          <w:sz w:val="22"/>
          <w:szCs w:val="22"/>
        </w:rPr>
        <w:t>”</w:t>
      </w:r>
      <w:r w:rsidRPr="001363DD">
        <w:rPr>
          <w:rFonts w:eastAsia="Arial"/>
          <w:sz w:val="22"/>
          <w:szCs w:val="22"/>
        </w:rPr>
        <w:t>).</w:t>
      </w:r>
    </w:p>
    <w:p w14:paraId="6D359B85" w14:textId="77777777" w:rsidR="00BC10B9" w:rsidRPr="001363DD" w:rsidRDefault="00BC10B9" w:rsidP="00D24CB3">
      <w:pPr>
        <w:ind w:left="720"/>
        <w:rPr>
          <w:rFonts w:eastAsia="Arial"/>
          <w:sz w:val="22"/>
          <w:szCs w:val="22"/>
        </w:rPr>
      </w:pPr>
    </w:p>
    <w:p w14:paraId="3C9C35A7" w14:textId="77777777" w:rsidR="00BC10B9" w:rsidRPr="001363DD" w:rsidRDefault="00343567" w:rsidP="00D24CB3">
      <w:pPr>
        <w:ind w:left="720"/>
        <w:rPr>
          <w:rFonts w:eastAsia="Arial"/>
          <w:sz w:val="22"/>
          <w:szCs w:val="22"/>
        </w:rPr>
      </w:pPr>
      <w:r w:rsidRPr="001363DD">
        <w:rPr>
          <w:rFonts w:eastAsia="Arial"/>
          <w:sz w:val="22"/>
          <w:szCs w:val="22"/>
        </w:rPr>
        <w:t>Grant funds may support a maximum of three memberships in victim assistance organizations. Each organization and its membership rate must be identified. Memberships must be in the name of the agency, not the individual.</w:t>
      </w:r>
    </w:p>
    <w:p w14:paraId="4FC316B7" w14:textId="77777777" w:rsidR="00BC10B9" w:rsidRPr="001363DD" w:rsidRDefault="00BC10B9" w:rsidP="00D24CB3">
      <w:pPr>
        <w:ind w:left="720"/>
        <w:rPr>
          <w:rFonts w:eastAsia="Arial"/>
          <w:sz w:val="22"/>
          <w:szCs w:val="22"/>
        </w:rPr>
      </w:pPr>
    </w:p>
    <w:p w14:paraId="0A4B5C86" w14:textId="77777777" w:rsidR="00BC10B9" w:rsidRDefault="00343567" w:rsidP="00D24CB3">
      <w:pPr>
        <w:ind w:left="720"/>
        <w:rPr>
          <w:rFonts w:eastAsia="Arial"/>
          <w:sz w:val="22"/>
          <w:szCs w:val="22"/>
        </w:rPr>
      </w:pPr>
      <w:r w:rsidRPr="001363DD">
        <w:rPr>
          <w:rFonts w:eastAsia="Arial"/>
          <w:sz w:val="22"/>
          <w:szCs w:val="22"/>
        </w:rPr>
        <w:t>DCJS will carefully examine office space rental and equipment maintenance requests, especially costs related to computer maintenance, network access, and the provision of technical support. Applicants must thoroughly document the necessity and cost effective</w:t>
      </w:r>
      <w:r w:rsidR="00E35E25" w:rsidRPr="001363DD">
        <w:rPr>
          <w:rFonts w:eastAsia="Arial"/>
          <w:sz w:val="22"/>
          <w:szCs w:val="22"/>
        </w:rPr>
        <w:t>ness of requested expenditures.</w:t>
      </w:r>
    </w:p>
    <w:p w14:paraId="082945B1" w14:textId="0FDF7D0E" w:rsidR="00C3308E" w:rsidRDefault="00C3308E" w:rsidP="00D24CB3">
      <w:pPr>
        <w:ind w:left="720"/>
        <w:rPr>
          <w:rFonts w:eastAsia="Arial"/>
          <w:sz w:val="22"/>
          <w:szCs w:val="22"/>
        </w:rPr>
      </w:pPr>
    </w:p>
    <w:p w14:paraId="07883E03" w14:textId="77777777" w:rsidR="008D6023" w:rsidRPr="001363DD" w:rsidRDefault="008D6023" w:rsidP="008D6023">
      <w:pPr>
        <w:ind w:left="720"/>
        <w:rPr>
          <w:rFonts w:eastAsia="Arial"/>
          <w:sz w:val="22"/>
          <w:szCs w:val="22"/>
        </w:rPr>
      </w:pPr>
      <w:r w:rsidRPr="001363DD">
        <w:rPr>
          <w:rFonts w:eastAsia="Arial"/>
          <w:sz w:val="22"/>
          <w:szCs w:val="22"/>
        </w:rPr>
        <w:t>All computers purchased with DCJS funds must be equipped with updated anti-virus protection software. Applicants are encouraged to limit computer purchase requests to $1500 per workstation and to discuss computer hardware and</w:t>
      </w:r>
      <w:r>
        <w:rPr>
          <w:rFonts w:eastAsia="Arial"/>
          <w:sz w:val="22"/>
          <w:szCs w:val="22"/>
        </w:rPr>
        <w:t xml:space="preserve"> software needs with DCJS Computer Services staff, Lisa Self, at </w:t>
      </w:r>
      <w:r w:rsidRPr="001363DD">
        <w:rPr>
          <w:rFonts w:eastAsia="Arial"/>
          <w:sz w:val="22"/>
          <w:szCs w:val="22"/>
        </w:rPr>
        <w:t>804</w:t>
      </w:r>
      <w:r>
        <w:rPr>
          <w:rFonts w:eastAsia="Arial"/>
          <w:sz w:val="22"/>
          <w:szCs w:val="22"/>
        </w:rPr>
        <w:t>-</w:t>
      </w:r>
      <w:r w:rsidRPr="001363DD">
        <w:rPr>
          <w:rFonts w:eastAsia="Arial"/>
          <w:sz w:val="22"/>
          <w:szCs w:val="22"/>
        </w:rPr>
        <w:t xml:space="preserve">786-8475. </w:t>
      </w:r>
    </w:p>
    <w:p w14:paraId="326355F1" w14:textId="77777777" w:rsidR="00BC10B9" w:rsidRPr="001363DD" w:rsidRDefault="00BC10B9" w:rsidP="002E038D">
      <w:pPr>
        <w:ind w:left="1080"/>
        <w:rPr>
          <w:rFonts w:eastAsia="Arial"/>
          <w:color w:val="000000"/>
          <w:sz w:val="22"/>
          <w:szCs w:val="22"/>
        </w:rPr>
      </w:pPr>
    </w:p>
    <w:p w14:paraId="27E4D2B2" w14:textId="77777777" w:rsidR="00BC10B9" w:rsidRPr="00C3308E" w:rsidRDefault="00343567" w:rsidP="006517C5">
      <w:pPr>
        <w:spacing w:before="120"/>
        <w:ind w:left="720"/>
        <w:rPr>
          <w:rFonts w:eastAsia="Arial"/>
          <w:b/>
          <w:caps/>
          <w:sz w:val="22"/>
          <w:szCs w:val="22"/>
        </w:rPr>
      </w:pPr>
      <w:bookmarkStart w:id="43" w:name="_111kx3o" w:colFirst="0" w:colLast="0"/>
      <w:bookmarkEnd w:id="43"/>
      <w:r w:rsidRPr="00C3308E">
        <w:rPr>
          <w:rFonts w:eastAsia="Arial"/>
          <w:b/>
          <w:caps/>
          <w:sz w:val="22"/>
          <w:szCs w:val="22"/>
        </w:rPr>
        <w:t>Indirect Costs</w:t>
      </w:r>
    </w:p>
    <w:p w14:paraId="1073CFD5" w14:textId="3BBB6A87" w:rsidR="00BC10B9" w:rsidRPr="001363DD" w:rsidRDefault="00343567" w:rsidP="00C3308E">
      <w:pPr>
        <w:ind w:left="720"/>
        <w:rPr>
          <w:rFonts w:eastAsia="Arial"/>
          <w:b/>
          <w:color w:val="000000"/>
          <w:sz w:val="22"/>
          <w:szCs w:val="22"/>
        </w:rPr>
      </w:pPr>
      <w:r w:rsidRPr="00C3308E">
        <w:rPr>
          <w:rFonts w:eastAsia="Arial"/>
          <w:b/>
          <w:i/>
          <w:sz w:val="22"/>
          <w:szCs w:val="22"/>
        </w:rPr>
        <w:t>Defining Indirect Costs</w:t>
      </w:r>
      <w:r w:rsidR="00C3308E">
        <w:rPr>
          <w:rFonts w:eastAsia="Arial"/>
          <w:color w:val="000000"/>
          <w:sz w:val="22"/>
          <w:szCs w:val="22"/>
        </w:rPr>
        <w:t xml:space="preserve">: </w:t>
      </w:r>
      <w:r w:rsidRPr="001363DD">
        <w:rPr>
          <w:rFonts w:eastAsia="Arial"/>
          <w:color w:val="000000"/>
          <w:sz w:val="22"/>
          <w:szCs w:val="22"/>
        </w:rPr>
        <w:t xml:space="preserve">Indirect costs are costs of an organization that are not readily assignable to a particular project, but are necessary to the operation of the organization and the performance of the project. Indirect costs are those that benefit more than one activity and are common or joint </w:t>
      </w:r>
      <w:r w:rsidRPr="001363DD">
        <w:rPr>
          <w:rFonts w:eastAsia="Arial"/>
          <w:color w:val="000000"/>
          <w:sz w:val="22"/>
          <w:szCs w:val="22"/>
        </w:rPr>
        <w:lastRenderedPageBreak/>
        <w:t>purpose costs. For example, costs of an office manager/receptionist position that answers general phone calls, greets clients, etc. are considered indirect costs.</w:t>
      </w:r>
    </w:p>
    <w:p w14:paraId="45F8D7B3" w14:textId="77777777" w:rsidR="00BC10B9" w:rsidRPr="001363DD" w:rsidRDefault="00BC10B9" w:rsidP="00C3308E">
      <w:pPr>
        <w:ind w:left="720"/>
        <w:rPr>
          <w:rFonts w:eastAsia="Arial"/>
          <w:color w:val="000000"/>
          <w:sz w:val="22"/>
          <w:szCs w:val="22"/>
        </w:rPr>
      </w:pPr>
    </w:p>
    <w:p w14:paraId="7677C624" w14:textId="77777777" w:rsidR="00E35E25" w:rsidRPr="001363DD" w:rsidRDefault="00C3308E" w:rsidP="006517C5">
      <w:pPr>
        <w:spacing w:after="60"/>
        <w:ind w:left="720"/>
        <w:rPr>
          <w:rFonts w:eastAsia="Arial"/>
          <w:color w:val="000000"/>
          <w:sz w:val="22"/>
          <w:szCs w:val="22"/>
        </w:rPr>
      </w:pPr>
      <w:r>
        <w:rPr>
          <w:rFonts w:eastAsia="Arial"/>
          <w:color w:val="000000"/>
          <w:sz w:val="22"/>
          <w:szCs w:val="22"/>
        </w:rPr>
        <w:t xml:space="preserve">According to </w:t>
      </w:r>
      <w:r w:rsidR="00343567" w:rsidRPr="001363DD">
        <w:rPr>
          <w:rFonts w:eastAsia="Arial"/>
          <w:color w:val="000000"/>
          <w:sz w:val="22"/>
          <w:szCs w:val="22"/>
        </w:rPr>
        <w:t>2 CFR Part 200.56, indirect costs are defined as:</w:t>
      </w:r>
    </w:p>
    <w:p w14:paraId="6BF9444B" w14:textId="77777777" w:rsidR="00BC10B9" w:rsidRPr="001363DD" w:rsidRDefault="00343567" w:rsidP="00FE4329">
      <w:pPr>
        <w:ind w:left="1080"/>
        <w:rPr>
          <w:rFonts w:eastAsia="Arial"/>
          <w:i/>
          <w:color w:val="000000"/>
          <w:sz w:val="22"/>
          <w:szCs w:val="22"/>
        </w:rPr>
      </w:pPr>
      <w:r w:rsidRPr="001363DD">
        <w:rPr>
          <w:rFonts w:eastAsia="Arial"/>
          <w:i/>
          <w:color w:val="000000"/>
          <w:sz w:val="22"/>
          <w:szCs w:val="22"/>
        </w:rPr>
        <w:t>Those costs incurred for a common or joint purpose benefitting more than one cost objective, and not readily assignable to the cost objectives specifically benefited, without effort disproportionate to the results achieved.</w:t>
      </w:r>
    </w:p>
    <w:p w14:paraId="54BDDCC4" w14:textId="77777777" w:rsidR="00BC10B9" w:rsidRPr="001363DD" w:rsidRDefault="00BC10B9" w:rsidP="00C3308E">
      <w:pPr>
        <w:ind w:left="360"/>
        <w:rPr>
          <w:rFonts w:eastAsia="Arial"/>
          <w:color w:val="000000"/>
          <w:sz w:val="22"/>
          <w:szCs w:val="22"/>
        </w:rPr>
      </w:pPr>
    </w:p>
    <w:p w14:paraId="12CB3E39" w14:textId="0BF2BFF6" w:rsidR="00BC10B9" w:rsidRDefault="00343567" w:rsidP="00FE4329">
      <w:pPr>
        <w:spacing w:after="60"/>
        <w:ind w:left="720"/>
        <w:rPr>
          <w:rFonts w:eastAsia="Arial"/>
          <w:color w:val="000000"/>
          <w:sz w:val="22"/>
          <w:szCs w:val="22"/>
        </w:rPr>
      </w:pPr>
      <w:r w:rsidRPr="001363DD">
        <w:rPr>
          <w:rFonts w:eastAsia="Arial"/>
          <w:color w:val="000000"/>
          <w:sz w:val="22"/>
          <w:szCs w:val="22"/>
        </w:rPr>
        <w:t>The salaries of administrative and clerical staff should generally be treated as indirect costs. Salaries of administrative/clerical staff may be appropriate to include as direct costs ONLY if ALL of the following conditions are met:</w:t>
      </w:r>
    </w:p>
    <w:p w14:paraId="1A1EBD38" w14:textId="10D76440" w:rsidR="00BC10B9" w:rsidRDefault="00343567" w:rsidP="00FE4329">
      <w:pPr>
        <w:numPr>
          <w:ilvl w:val="0"/>
          <w:numId w:val="14"/>
        </w:numPr>
        <w:spacing w:after="60"/>
        <w:ind w:left="1440"/>
        <w:rPr>
          <w:rFonts w:eastAsia="Arial"/>
          <w:color w:val="000000"/>
          <w:sz w:val="22"/>
          <w:szCs w:val="22"/>
        </w:rPr>
      </w:pPr>
      <w:r w:rsidRPr="001363DD">
        <w:rPr>
          <w:rFonts w:eastAsia="Arial"/>
          <w:color w:val="000000"/>
          <w:sz w:val="22"/>
          <w:szCs w:val="22"/>
        </w:rPr>
        <w:t>Administrative or clerical services are integral to a project or activity;</w:t>
      </w:r>
    </w:p>
    <w:p w14:paraId="284DBCC6" w14:textId="4AF32A29" w:rsidR="00BC10B9" w:rsidRDefault="00343567" w:rsidP="00FE4329">
      <w:pPr>
        <w:numPr>
          <w:ilvl w:val="0"/>
          <w:numId w:val="14"/>
        </w:numPr>
        <w:spacing w:after="60"/>
        <w:ind w:left="1440"/>
        <w:rPr>
          <w:rFonts w:eastAsia="Arial"/>
          <w:color w:val="000000"/>
          <w:sz w:val="22"/>
          <w:szCs w:val="22"/>
        </w:rPr>
      </w:pPr>
      <w:r w:rsidRPr="001363DD">
        <w:rPr>
          <w:rFonts w:eastAsia="Arial"/>
          <w:color w:val="000000"/>
          <w:sz w:val="22"/>
          <w:szCs w:val="22"/>
        </w:rPr>
        <w:t>Individuals involved can be specifically identified with the project or activity;</w:t>
      </w:r>
    </w:p>
    <w:p w14:paraId="494FD0F2" w14:textId="44A9B3AD" w:rsidR="00BC10B9" w:rsidRDefault="00343567" w:rsidP="00FE4329">
      <w:pPr>
        <w:numPr>
          <w:ilvl w:val="0"/>
          <w:numId w:val="14"/>
        </w:numPr>
        <w:spacing w:after="60"/>
        <w:ind w:left="1440"/>
        <w:rPr>
          <w:rFonts w:eastAsia="Arial"/>
          <w:color w:val="000000"/>
          <w:sz w:val="22"/>
          <w:szCs w:val="22"/>
        </w:rPr>
      </w:pPr>
      <w:r w:rsidRPr="001363DD">
        <w:rPr>
          <w:rFonts w:eastAsia="Arial"/>
          <w:color w:val="000000"/>
          <w:sz w:val="22"/>
          <w:szCs w:val="22"/>
        </w:rPr>
        <w:t>Such costs are explicitly included in the budget or have the prior written approval of the awarding agency; and</w:t>
      </w:r>
    </w:p>
    <w:p w14:paraId="160FA5AA" w14:textId="77777777" w:rsidR="00BC10B9" w:rsidRPr="001363DD" w:rsidRDefault="00343567" w:rsidP="00571DE4">
      <w:pPr>
        <w:numPr>
          <w:ilvl w:val="0"/>
          <w:numId w:val="14"/>
        </w:numPr>
        <w:ind w:left="1440"/>
        <w:rPr>
          <w:rFonts w:eastAsia="Arial"/>
          <w:color w:val="000000"/>
          <w:sz w:val="22"/>
          <w:szCs w:val="22"/>
        </w:rPr>
      </w:pPr>
      <w:r w:rsidRPr="001363DD">
        <w:rPr>
          <w:rFonts w:eastAsia="Arial"/>
          <w:color w:val="000000"/>
          <w:sz w:val="22"/>
          <w:szCs w:val="22"/>
        </w:rPr>
        <w:t>The costs are not also recovered as indirect costs.</w:t>
      </w:r>
    </w:p>
    <w:p w14:paraId="715324C0" w14:textId="77777777" w:rsidR="00BC10B9" w:rsidRPr="001363DD" w:rsidRDefault="00BC10B9" w:rsidP="00C3308E">
      <w:pPr>
        <w:ind w:left="720"/>
        <w:rPr>
          <w:rFonts w:eastAsia="Arial"/>
          <w:color w:val="000000"/>
          <w:sz w:val="22"/>
          <w:szCs w:val="22"/>
        </w:rPr>
      </w:pPr>
    </w:p>
    <w:p w14:paraId="1DB5CA38" w14:textId="77777777" w:rsidR="00C3308E" w:rsidRPr="001363DD" w:rsidRDefault="00343567" w:rsidP="00C3308E">
      <w:pPr>
        <w:ind w:left="720"/>
        <w:rPr>
          <w:rFonts w:eastAsia="Arial"/>
          <w:color w:val="000000"/>
          <w:sz w:val="22"/>
          <w:szCs w:val="22"/>
        </w:rPr>
      </w:pPr>
      <w:r w:rsidRPr="00C3308E">
        <w:rPr>
          <w:rFonts w:eastAsia="Arial"/>
          <w:b/>
          <w:i/>
          <w:sz w:val="22"/>
          <w:szCs w:val="22"/>
        </w:rPr>
        <w:t>Requesting Indirect Costs</w:t>
      </w:r>
      <w:r w:rsidR="00C3308E">
        <w:rPr>
          <w:rFonts w:eastAsia="Arial"/>
          <w:color w:val="000000"/>
          <w:sz w:val="22"/>
          <w:szCs w:val="22"/>
        </w:rPr>
        <w:t xml:space="preserve">: </w:t>
      </w:r>
      <w:r w:rsidRPr="001363DD">
        <w:rPr>
          <w:rFonts w:eastAsia="Arial"/>
          <w:color w:val="000000"/>
          <w:sz w:val="22"/>
          <w:szCs w:val="22"/>
        </w:rPr>
        <w:t>Requesting indirect costs is optional. You do not have to request indirect costs, but if you choose to, it is allowable.</w:t>
      </w:r>
      <w:r w:rsidR="00C3308E">
        <w:rPr>
          <w:rFonts w:eastAsia="Arial"/>
          <w:b/>
          <w:color w:val="000000"/>
          <w:sz w:val="22"/>
          <w:szCs w:val="22"/>
        </w:rPr>
        <w:t xml:space="preserve"> </w:t>
      </w:r>
      <w:r w:rsidRPr="001363DD">
        <w:rPr>
          <w:rFonts w:eastAsia="Arial"/>
          <w:color w:val="000000"/>
          <w:sz w:val="22"/>
          <w:szCs w:val="22"/>
        </w:rPr>
        <w:t>To calculate indirect costs, you must first determine the Modified Total Direct Costs (MTDC) amount of your budget. Indirect costs that can be requested are not based on the entire project budget, but on the MTDC amount.</w:t>
      </w:r>
      <w:r w:rsidR="00C3308E">
        <w:rPr>
          <w:rFonts w:eastAsia="Arial"/>
          <w:color w:val="000000"/>
          <w:sz w:val="22"/>
          <w:szCs w:val="22"/>
        </w:rPr>
        <w:t xml:space="preserve"> </w:t>
      </w:r>
      <w:r w:rsidR="00C3308E" w:rsidRPr="001363DD">
        <w:rPr>
          <w:rFonts w:eastAsia="Arial"/>
          <w:color w:val="000000"/>
          <w:sz w:val="22"/>
          <w:szCs w:val="22"/>
        </w:rPr>
        <w:t>You are not required to describe or itemize what is included in the indirect costs.</w:t>
      </w:r>
    </w:p>
    <w:p w14:paraId="621B928B" w14:textId="77777777" w:rsidR="00E35E25" w:rsidRPr="001363DD" w:rsidRDefault="00E35E25" w:rsidP="00C3308E">
      <w:pPr>
        <w:ind w:left="720"/>
        <w:rPr>
          <w:rFonts w:eastAsia="Arial"/>
          <w:b/>
          <w:color w:val="000000"/>
          <w:sz w:val="22"/>
          <w:szCs w:val="22"/>
        </w:rPr>
      </w:pPr>
    </w:p>
    <w:p w14:paraId="56D1D448" w14:textId="1D9D02C3" w:rsidR="00BC10B9" w:rsidRPr="001363DD" w:rsidRDefault="008D6023" w:rsidP="00C3308E">
      <w:pPr>
        <w:ind w:left="720"/>
        <w:rPr>
          <w:rFonts w:eastAsia="Arial"/>
          <w:b/>
          <w:color w:val="000000"/>
          <w:sz w:val="22"/>
          <w:szCs w:val="22"/>
        </w:rPr>
      </w:pPr>
      <w:r>
        <w:rPr>
          <w:rFonts w:eastAsia="Arial"/>
          <w:color w:val="000000"/>
          <w:sz w:val="22"/>
          <w:szCs w:val="22"/>
        </w:rPr>
        <w:t xml:space="preserve">Applicants </w:t>
      </w:r>
      <w:r w:rsidR="00343567" w:rsidRPr="001363DD">
        <w:rPr>
          <w:rFonts w:eastAsia="Arial"/>
          <w:color w:val="000000"/>
          <w:sz w:val="22"/>
          <w:szCs w:val="22"/>
        </w:rPr>
        <w:t xml:space="preserve">have two options when requesting Indirect Costs: using a </w:t>
      </w:r>
      <w:r w:rsidR="00343567" w:rsidRPr="001363DD">
        <w:rPr>
          <w:rFonts w:eastAsia="Arial"/>
          <w:b/>
          <w:color w:val="000000"/>
          <w:sz w:val="22"/>
          <w:szCs w:val="22"/>
        </w:rPr>
        <w:t>formal Indirect Cost Rate Agreement (ICRA)</w:t>
      </w:r>
      <w:r w:rsidR="00343567" w:rsidRPr="001363DD">
        <w:rPr>
          <w:rFonts w:eastAsia="Arial"/>
          <w:color w:val="000000"/>
          <w:sz w:val="22"/>
          <w:szCs w:val="22"/>
        </w:rPr>
        <w:t xml:space="preserve"> or using a </w:t>
      </w:r>
      <w:r w:rsidR="00A8140A">
        <w:rPr>
          <w:rFonts w:eastAsia="Arial"/>
          <w:b/>
          <w:color w:val="000000"/>
          <w:sz w:val="22"/>
          <w:szCs w:val="22"/>
        </w:rPr>
        <w:t>“</w:t>
      </w:r>
      <w:r w:rsidR="00343567" w:rsidRPr="001363DD">
        <w:rPr>
          <w:rFonts w:eastAsia="Arial"/>
          <w:b/>
          <w:color w:val="000000"/>
          <w:sz w:val="22"/>
          <w:szCs w:val="22"/>
        </w:rPr>
        <w:t>De Minimis</w:t>
      </w:r>
      <w:r w:rsidR="00A8140A">
        <w:rPr>
          <w:rFonts w:eastAsia="Arial"/>
          <w:b/>
          <w:color w:val="000000"/>
          <w:sz w:val="22"/>
          <w:szCs w:val="22"/>
        </w:rPr>
        <w:t>”</w:t>
      </w:r>
      <w:r w:rsidR="00343567" w:rsidRPr="001363DD">
        <w:rPr>
          <w:rFonts w:eastAsia="Arial"/>
          <w:b/>
          <w:color w:val="000000"/>
          <w:sz w:val="22"/>
          <w:szCs w:val="22"/>
        </w:rPr>
        <w:t xml:space="preserve"> rate</w:t>
      </w:r>
      <w:r w:rsidR="00343567" w:rsidRPr="001363DD">
        <w:rPr>
          <w:rFonts w:eastAsia="Arial"/>
          <w:color w:val="000000"/>
          <w:sz w:val="22"/>
          <w:szCs w:val="22"/>
        </w:rPr>
        <w:t>. These two options are outlined below.</w:t>
      </w:r>
    </w:p>
    <w:p w14:paraId="4AC9BCAD" w14:textId="77777777" w:rsidR="00BC10B9" w:rsidRPr="001363DD" w:rsidRDefault="00BC10B9" w:rsidP="00C3308E">
      <w:pPr>
        <w:ind w:left="720"/>
        <w:rPr>
          <w:rFonts w:eastAsia="Arial"/>
          <w:color w:val="000000"/>
          <w:sz w:val="22"/>
          <w:szCs w:val="22"/>
        </w:rPr>
      </w:pPr>
    </w:p>
    <w:p w14:paraId="38580F9E" w14:textId="532344CA" w:rsidR="00BC10B9" w:rsidRDefault="00343567" w:rsidP="00FE4329">
      <w:pPr>
        <w:pStyle w:val="ListParagraph"/>
        <w:numPr>
          <w:ilvl w:val="0"/>
          <w:numId w:val="20"/>
        </w:numPr>
        <w:spacing w:after="60"/>
        <w:ind w:left="1440"/>
        <w:contextualSpacing w:val="0"/>
        <w:rPr>
          <w:rFonts w:eastAsia="Arial"/>
          <w:b/>
          <w:color w:val="000000"/>
          <w:sz w:val="22"/>
          <w:szCs w:val="22"/>
        </w:rPr>
      </w:pPr>
      <w:r w:rsidRPr="001363DD">
        <w:rPr>
          <w:rFonts w:eastAsia="Arial"/>
          <w:b/>
          <w:color w:val="000000"/>
          <w:sz w:val="22"/>
          <w:szCs w:val="22"/>
        </w:rPr>
        <w:t>Indirect Cost Rate Agreement (ICRA)</w:t>
      </w:r>
    </w:p>
    <w:p w14:paraId="255BE0EA" w14:textId="358C9E46" w:rsidR="00BC10B9" w:rsidRDefault="00343567" w:rsidP="00FE4329">
      <w:pPr>
        <w:numPr>
          <w:ilvl w:val="0"/>
          <w:numId w:val="31"/>
        </w:numPr>
        <w:spacing w:after="60"/>
        <w:ind w:left="1800"/>
        <w:rPr>
          <w:rFonts w:eastAsia="Arial"/>
          <w:color w:val="000000"/>
          <w:sz w:val="22"/>
          <w:szCs w:val="22"/>
        </w:rPr>
      </w:pPr>
      <w:r w:rsidRPr="001363DD">
        <w:rPr>
          <w:rFonts w:eastAsia="Arial"/>
          <w:color w:val="000000"/>
          <w:sz w:val="22"/>
          <w:szCs w:val="22"/>
        </w:rPr>
        <w:t>This is a formal rate agreement that an organization has applied for and received from the federal cognizant agency (DCJS does not approve ICRAs)</w:t>
      </w:r>
    </w:p>
    <w:p w14:paraId="50D0338B" w14:textId="185BB595" w:rsidR="00BC10B9" w:rsidRDefault="00343567" w:rsidP="00FE4329">
      <w:pPr>
        <w:numPr>
          <w:ilvl w:val="0"/>
          <w:numId w:val="31"/>
        </w:numPr>
        <w:spacing w:after="60"/>
        <w:ind w:left="1800"/>
        <w:rPr>
          <w:rFonts w:eastAsia="Arial"/>
          <w:color w:val="000000"/>
          <w:sz w:val="22"/>
          <w:szCs w:val="22"/>
        </w:rPr>
      </w:pPr>
      <w:r w:rsidRPr="001363DD">
        <w:rPr>
          <w:rFonts w:eastAsia="Arial"/>
          <w:color w:val="000000"/>
          <w:sz w:val="22"/>
          <w:szCs w:val="22"/>
        </w:rPr>
        <w:t xml:space="preserve">Organizations will have a letter or other documentation that lists the federally-negotiated rate </w:t>
      </w:r>
    </w:p>
    <w:p w14:paraId="5E5640B9" w14:textId="1C473742" w:rsidR="00BC10B9" w:rsidRDefault="00343567" w:rsidP="00FE4329">
      <w:pPr>
        <w:numPr>
          <w:ilvl w:val="0"/>
          <w:numId w:val="31"/>
        </w:numPr>
        <w:spacing w:after="60"/>
        <w:ind w:left="1800"/>
        <w:rPr>
          <w:rFonts w:eastAsia="Arial"/>
          <w:color w:val="000000"/>
          <w:sz w:val="22"/>
          <w:szCs w:val="22"/>
        </w:rPr>
      </w:pPr>
      <w:r w:rsidRPr="001363DD">
        <w:rPr>
          <w:rFonts w:eastAsia="Arial"/>
          <w:color w:val="000000"/>
          <w:sz w:val="22"/>
          <w:szCs w:val="22"/>
        </w:rPr>
        <w:t>The rate in the ICRA must be accepted, unless otherwise specified by federal awarding agency</w:t>
      </w:r>
    </w:p>
    <w:p w14:paraId="2DFDE242" w14:textId="025CABF2" w:rsidR="00BC10B9" w:rsidRPr="001363DD" w:rsidRDefault="00343567" w:rsidP="00FE4329">
      <w:pPr>
        <w:numPr>
          <w:ilvl w:val="0"/>
          <w:numId w:val="31"/>
        </w:numPr>
        <w:ind w:left="1800"/>
        <w:rPr>
          <w:rFonts w:eastAsia="Arial"/>
          <w:color w:val="000000"/>
          <w:sz w:val="22"/>
          <w:szCs w:val="22"/>
        </w:rPr>
      </w:pPr>
      <w:r w:rsidRPr="001363DD">
        <w:rPr>
          <w:rFonts w:eastAsia="Arial"/>
          <w:color w:val="000000"/>
          <w:sz w:val="22"/>
          <w:szCs w:val="22"/>
        </w:rPr>
        <w:t>Can request the percentage (as outlined in the ICRA) of the Modified Total Direct Costs (MTDC) of their budget for indirect costs</w:t>
      </w:r>
    </w:p>
    <w:p w14:paraId="7FDDCAC6" w14:textId="77777777" w:rsidR="00BC10B9" w:rsidRPr="001363DD" w:rsidRDefault="00BC10B9" w:rsidP="00C3308E">
      <w:pPr>
        <w:ind w:left="720"/>
        <w:rPr>
          <w:rFonts w:eastAsia="Arial"/>
          <w:color w:val="000000"/>
          <w:sz w:val="22"/>
          <w:szCs w:val="22"/>
        </w:rPr>
      </w:pPr>
    </w:p>
    <w:p w14:paraId="7AB91519" w14:textId="2576190C" w:rsidR="00BC10B9" w:rsidRDefault="00A8140A" w:rsidP="00FE4329">
      <w:pPr>
        <w:pStyle w:val="ListParagraph"/>
        <w:numPr>
          <w:ilvl w:val="0"/>
          <w:numId w:val="20"/>
        </w:numPr>
        <w:spacing w:after="60"/>
        <w:ind w:left="1440"/>
        <w:contextualSpacing w:val="0"/>
        <w:rPr>
          <w:rFonts w:eastAsia="Arial"/>
          <w:b/>
          <w:color w:val="000000"/>
          <w:sz w:val="22"/>
          <w:szCs w:val="22"/>
        </w:rPr>
      </w:pPr>
      <w:r>
        <w:rPr>
          <w:rFonts w:eastAsia="Arial"/>
          <w:b/>
          <w:color w:val="000000"/>
          <w:sz w:val="22"/>
          <w:szCs w:val="22"/>
        </w:rPr>
        <w:t>“</w:t>
      </w:r>
      <w:r w:rsidR="00343567" w:rsidRPr="001363DD">
        <w:rPr>
          <w:rFonts w:eastAsia="Arial"/>
          <w:b/>
          <w:color w:val="000000"/>
          <w:sz w:val="22"/>
          <w:szCs w:val="22"/>
        </w:rPr>
        <w:t>De Minimis</w:t>
      </w:r>
      <w:r>
        <w:rPr>
          <w:rFonts w:eastAsia="Arial"/>
          <w:b/>
          <w:color w:val="000000"/>
          <w:sz w:val="22"/>
          <w:szCs w:val="22"/>
        </w:rPr>
        <w:t>”</w:t>
      </w:r>
      <w:r w:rsidR="00343567" w:rsidRPr="001363DD">
        <w:rPr>
          <w:rFonts w:eastAsia="Arial"/>
          <w:b/>
          <w:color w:val="000000"/>
          <w:sz w:val="22"/>
          <w:szCs w:val="22"/>
        </w:rPr>
        <w:t xml:space="preserve"> Rate</w:t>
      </w:r>
    </w:p>
    <w:p w14:paraId="20A9F342" w14:textId="77777777" w:rsidR="008D6023" w:rsidRDefault="00343567" w:rsidP="00FE4329">
      <w:pPr>
        <w:numPr>
          <w:ilvl w:val="0"/>
          <w:numId w:val="31"/>
        </w:numPr>
        <w:spacing w:after="60"/>
        <w:ind w:left="1800"/>
        <w:rPr>
          <w:rFonts w:eastAsia="Arial"/>
          <w:color w:val="000000"/>
          <w:sz w:val="22"/>
          <w:szCs w:val="22"/>
        </w:rPr>
      </w:pPr>
      <w:r w:rsidRPr="001363DD">
        <w:rPr>
          <w:rFonts w:eastAsia="Arial"/>
          <w:color w:val="000000"/>
          <w:sz w:val="22"/>
          <w:szCs w:val="22"/>
        </w:rPr>
        <w:t>This can be used by organizations that have never had a federally-approved Indirect Cost Rate Agreement</w:t>
      </w:r>
    </w:p>
    <w:p w14:paraId="1582377B" w14:textId="77777777" w:rsidR="00BC10B9" w:rsidRPr="001363DD" w:rsidRDefault="00343567" w:rsidP="00FE4329">
      <w:pPr>
        <w:numPr>
          <w:ilvl w:val="0"/>
          <w:numId w:val="31"/>
        </w:numPr>
        <w:ind w:left="1800"/>
        <w:rPr>
          <w:rFonts w:eastAsia="Arial"/>
          <w:color w:val="000000"/>
          <w:sz w:val="22"/>
          <w:szCs w:val="22"/>
        </w:rPr>
      </w:pPr>
      <w:r w:rsidRPr="001363DD">
        <w:rPr>
          <w:rFonts w:eastAsia="Arial"/>
          <w:color w:val="000000"/>
          <w:sz w:val="22"/>
          <w:szCs w:val="22"/>
        </w:rPr>
        <w:t>Can use a rate of up to 10% of the Modified Total Direct Costs (MTDC) of their budget for indirect costs</w:t>
      </w:r>
    </w:p>
    <w:p w14:paraId="3F9714FE" w14:textId="77777777" w:rsidR="00BC10B9" w:rsidRPr="001363DD" w:rsidRDefault="00BC10B9" w:rsidP="00C3308E">
      <w:pPr>
        <w:ind w:left="720"/>
        <w:rPr>
          <w:rFonts w:eastAsia="Arial"/>
          <w:color w:val="000000"/>
          <w:sz w:val="22"/>
          <w:szCs w:val="22"/>
        </w:rPr>
      </w:pPr>
    </w:p>
    <w:p w14:paraId="220D2DAA" w14:textId="482C0AE5" w:rsidR="00BC10B9" w:rsidRPr="00C3308E" w:rsidRDefault="00343567" w:rsidP="006517C5">
      <w:pPr>
        <w:spacing w:after="60"/>
        <w:ind w:left="720"/>
        <w:rPr>
          <w:rFonts w:eastAsia="Arial"/>
          <w:color w:val="000000"/>
          <w:sz w:val="22"/>
          <w:szCs w:val="22"/>
        </w:rPr>
      </w:pPr>
      <w:r w:rsidRPr="001363DD">
        <w:rPr>
          <w:rFonts w:eastAsia="Arial"/>
          <w:b/>
          <w:color w:val="000000"/>
          <w:sz w:val="22"/>
          <w:szCs w:val="22"/>
        </w:rPr>
        <w:t xml:space="preserve">Use the </w:t>
      </w:r>
      <w:r w:rsidR="00A8140A">
        <w:rPr>
          <w:rFonts w:eastAsia="Arial"/>
          <w:b/>
          <w:color w:val="000000"/>
          <w:sz w:val="22"/>
          <w:szCs w:val="22"/>
        </w:rPr>
        <w:t>“</w:t>
      </w:r>
      <w:r w:rsidRPr="001363DD">
        <w:rPr>
          <w:rFonts w:eastAsia="Arial"/>
          <w:b/>
          <w:color w:val="000000"/>
          <w:sz w:val="22"/>
          <w:szCs w:val="22"/>
        </w:rPr>
        <w:t>MTDC Worksheet</w:t>
      </w:r>
      <w:r w:rsidR="00A8140A">
        <w:rPr>
          <w:rFonts w:eastAsia="Arial"/>
          <w:b/>
          <w:color w:val="000000"/>
          <w:sz w:val="22"/>
          <w:szCs w:val="22"/>
        </w:rPr>
        <w:t>”</w:t>
      </w:r>
      <w:r w:rsidRPr="001363DD">
        <w:rPr>
          <w:rFonts w:eastAsia="Arial"/>
          <w:color w:val="000000"/>
          <w:sz w:val="22"/>
          <w:szCs w:val="22"/>
        </w:rPr>
        <w:t xml:space="preserve"> to calculate your MTDC amount. The Worksheet will also calculate the amount of indirect costs that can</w:t>
      </w:r>
      <w:r w:rsidR="008D6023">
        <w:rPr>
          <w:rFonts w:eastAsia="Arial"/>
          <w:color w:val="000000"/>
          <w:sz w:val="22"/>
          <w:szCs w:val="22"/>
        </w:rPr>
        <w:t xml:space="preserve"> be</w:t>
      </w:r>
      <w:r w:rsidRPr="001363DD">
        <w:rPr>
          <w:rFonts w:eastAsia="Arial"/>
          <w:color w:val="000000"/>
          <w:sz w:val="22"/>
          <w:szCs w:val="22"/>
        </w:rPr>
        <w:t xml:space="preserve"> request</w:t>
      </w:r>
      <w:r w:rsidR="008D6023">
        <w:rPr>
          <w:rFonts w:eastAsia="Arial"/>
          <w:color w:val="000000"/>
          <w:sz w:val="22"/>
          <w:szCs w:val="22"/>
        </w:rPr>
        <w:t>ed</w:t>
      </w:r>
      <w:r w:rsidRPr="001363DD">
        <w:rPr>
          <w:rFonts w:eastAsia="Arial"/>
          <w:color w:val="000000"/>
          <w:sz w:val="22"/>
          <w:szCs w:val="22"/>
        </w:rPr>
        <w:t>.</w:t>
      </w:r>
      <w:r w:rsidR="00C3308E">
        <w:rPr>
          <w:rFonts w:eastAsia="Arial"/>
          <w:color w:val="000000"/>
          <w:sz w:val="22"/>
          <w:szCs w:val="22"/>
        </w:rPr>
        <w:t xml:space="preserve"> </w:t>
      </w:r>
      <w:r w:rsidRPr="001363DD">
        <w:rPr>
          <w:rFonts w:eastAsia="Arial"/>
          <w:b/>
          <w:color w:val="000000"/>
          <w:sz w:val="22"/>
          <w:szCs w:val="22"/>
        </w:rPr>
        <w:t xml:space="preserve">If Indirect Costs are requested, </w:t>
      </w:r>
      <w:r w:rsidR="008D6023">
        <w:rPr>
          <w:rFonts w:eastAsia="Arial"/>
          <w:b/>
          <w:color w:val="000000"/>
          <w:sz w:val="22"/>
          <w:szCs w:val="22"/>
        </w:rPr>
        <w:t>applicants</w:t>
      </w:r>
      <w:r w:rsidR="008D6023" w:rsidRPr="001363DD">
        <w:rPr>
          <w:rFonts w:eastAsia="Arial"/>
          <w:b/>
          <w:color w:val="000000"/>
          <w:sz w:val="22"/>
          <w:szCs w:val="22"/>
        </w:rPr>
        <w:t xml:space="preserve"> </w:t>
      </w:r>
      <w:r w:rsidRPr="001363DD">
        <w:rPr>
          <w:rFonts w:eastAsia="Arial"/>
          <w:b/>
          <w:color w:val="000000"/>
          <w:sz w:val="22"/>
          <w:szCs w:val="22"/>
        </w:rPr>
        <w:t xml:space="preserve">must submit two additional documents with </w:t>
      </w:r>
      <w:r w:rsidR="008D6023">
        <w:rPr>
          <w:rFonts w:eastAsia="Arial"/>
          <w:b/>
          <w:color w:val="000000"/>
          <w:sz w:val="22"/>
          <w:szCs w:val="22"/>
        </w:rPr>
        <w:t>the</w:t>
      </w:r>
      <w:r w:rsidR="008D6023" w:rsidRPr="001363DD">
        <w:rPr>
          <w:rFonts w:eastAsia="Arial"/>
          <w:b/>
          <w:color w:val="000000"/>
          <w:sz w:val="22"/>
          <w:szCs w:val="22"/>
        </w:rPr>
        <w:t xml:space="preserve"> </w:t>
      </w:r>
      <w:r w:rsidRPr="001363DD">
        <w:rPr>
          <w:rFonts w:eastAsia="Arial"/>
          <w:b/>
          <w:color w:val="000000"/>
          <w:sz w:val="22"/>
          <w:szCs w:val="22"/>
        </w:rPr>
        <w:t>grant application:</w:t>
      </w:r>
    </w:p>
    <w:p w14:paraId="3035AF4D" w14:textId="4B5D03E5" w:rsidR="00BC10B9" w:rsidRPr="001363DD" w:rsidRDefault="00343567" w:rsidP="00C3308E">
      <w:pPr>
        <w:ind w:left="1080"/>
        <w:rPr>
          <w:rFonts w:eastAsia="Arial"/>
          <w:color w:val="000000"/>
          <w:sz w:val="22"/>
          <w:szCs w:val="22"/>
        </w:rPr>
      </w:pPr>
      <w:r w:rsidRPr="001363DD">
        <w:rPr>
          <w:rFonts w:eastAsia="Arial"/>
          <w:color w:val="000000"/>
          <w:sz w:val="22"/>
          <w:szCs w:val="22"/>
        </w:rPr>
        <w:t>1.</w:t>
      </w:r>
      <w:r w:rsidRPr="001363DD">
        <w:rPr>
          <w:rFonts w:eastAsia="Arial"/>
          <w:color w:val="000000"/>
          <w:sz w:val="22"/>
          <w:szCs w:val="22"/>
        </w:rPr>
        <w:tab/>
        <w:t>MTDC Worksheet (Excel document)</w:t>
      </w:r>
      <w:r w:rsidR="00C3308E">
        <w:rPr>
          <w:rFonts w:eastAsia="Arial"/>
          <w:color w:val="000000"/>
          <w:sz w:val="22"/>
          <w:szCs w:val="22"/>
        </w:rPr>
        <w:t xml:space="preserve"> </w:t>
      </w:r>
      <w:r w:rsidRPr="001363DD">
        <w:rPr>
          <w:rFonts w:eastAsia="Arial"/>
          <w:color w:val="000000"/>
          <w:sz w:val="22"/>
          <w:szCs w:val="22"/>
        </w:rPr>
        <w:t xml:space="preserve">(Attachment </w:t>
      </w:r>
      <w:r w:rsidR="005E7B86">
        <w:rPr>
          <w:rFonts w:eastAsia="Arial"/>
          <w:sz w:val="22"/>
          <w:szCs w:val="22"/>
        </w:rPr>
        <w:t>6</w:t>
      </w:r>
      <w:r w:rsidRPr="001363DD">
        <w:rPr>
          <w:rFonts w:eastAsia="Arial"/>
          <w:color w:val="000000"/>
          <w:sz w:val="22"/>
          <w:szCs w:val="22"/>
        </w:rPr>
        <w:t>)</w:t>
      </w:r>
    </w:p>
    <w:p w14:paraId="1692E907" w14:textId="64E9E257" w:rsidR="00BC10B9" w:rsidRDefault="00343567" w:rsidP="006517C5">
      <w:pPr>
        <w:spacing w:after="60"/>
        <w:ind w:left="1440" w:firstLine="360"/>
        <w:rPr>
          <w:rFonts w:eastAsia="Arial"/>
          <w:b/>
          <w:i/>
          <w:color w:val="000000"/>
          <w:sz w:val="22"/>
          <w:szCs w:val="22"/>
        </w:rPr>
      </w:pPr>
      <w:r w:rsidRPr="001363DD">
        <w:rPr>
          <w:rFonts w:eastAsia="Arial"/>
          <w:b/>
          <w:i/>
          <w:color w:val="000000"/>
          <w:sz w:val="22"/>
          <w:szCs w:val="22"/>
        </w:rPr>
        <w:t>AND</w:t>
      </w:r>
    </w:p>
    <w:p w14:paraId="1D027308" w14:textId="1B1F428A" w:rsidR="00BC10B9" w:rsidRPr="001363DD" w:rsidRDefault="00343567" w:rsidP="00C3308E">
      <w:pPr>
        <w:ind w:left="1080"/>
        <w:rPr>
          <w:rFonts w:eastAsia="Arial"/>
          <w:color w:val="000000"/>
          <w:sz w:val="22"/>
          <w:szCs w:val="22"/>
        </w:rPr>
      </w:pPr>
      <w:r w:rsidRPr="001363DD">
        <w:rPr>
          <w:rFonts w:eastAsia="Arial"/>
          <w:color w:val="000000"/>
          <w:sz w:val="22"/>
          <w:szCs w:val="22"/>
        </w:rPr>
        <w:t>2.</w:t>
      </w:r>
      <w:r w:rsidRPr="001363DD">
        <w:rPr>
          <w:rFonts w:eastAsia="Arial"/>
          <w:color w:val="000000"/>
          <w:sz w:val="22"/>
          <w:szCs w:val="22"/>
        </w:rPr>
        <w:tab/>
        <w:t xml:space="preserve">Certification of De Minimis Indirect Cost Rate form (Attachment </w:t>
      </w:r>
      <w:r w:rsidR="005E7B86">
        <w:rPr>
          <w:rFonts w:eastAsia="Arial"/>
          <w:sz w:val="22"/>
          <w:szCs w:val="22"/>
        </w:rPr>
        <w:t>7</w:t>
      </w:r>
      <w:r w:rsidRPr="001363DD">
        <w:rPr>
          <w:rFonts w:eastAsia="Arial"/>
          <w:color w:val="000000"/>
          <w:sz w:val="22"/>
          <w:szCs w:val="22"/>
        </w:rPr>
        <w:t>)</w:t>
      </w:r>
    </w:p>
    <w:p w14:paraId="0203CA4F" w14:textId="77777777" w:rsidR="00BC10B9" w:rsidRPr="001363DD" w:rsidRDefault="00343567" w:rsidP="00C3308E">
      <w:pPr>
        <w:ind w:left="1440" w:firstLine="360"/>
        <w:rPr>
          <w:rFonts w:eastAsia="Arial"/>
          <w:b/>
          <w:i/>
          <w:color w:val="000000"/>
          <w:sz w:val="22"/>
          <w:szCs w:val="22"/>
        </w:rPr>
      </w:pPr>
      <w:r w:rsidRPr="001363DD">
        <w:rPr>
          <w:rFonts w:eastAsia="Arial"/>
          <w:b/>
          <w:i/>
          <w:color w:val="000000"/>
          <w:sz w:val="22"/>
          <w:szCs w:val="22"/>
        </w:rPr>
        <w:t>OR</w:t>
      </w:r>
    </w:p>
    <w:p w14:paraId="6674E85A" w14:textId="5015EEFB" w:rsidR="00BC10B9" w:rsidRPr="001363DD" w:rsidRDefault="00343567" w:rsidP="00C3308E">
      <w:pPr>
        <w:ind w:left="1440"/>
        <w:rPr>
          <w:rFonts w:eastAsia="Arial"/>
          <w:color w:val="000000"/>
          <w:sz w:val="22"/>
          <w:szCs w:val="22"/>
        </w:rPr>
      </w:pPr>
      <w:r w:rsidRPr="001363DD">
        <w:rPr>
          <w:rFonts w:eastAsia="Arial"/>
          <w:color w:val="000000"/>
          <w:sz w:val="22"/>
          <w:szCs w:val="22"/>
        </w:rPr>
        <w:lastRenderedPageBreak/>
        <w:t>A copy of your agency</w:t>
      </w:r>
      <w:r w:rsidR="00A8140A">
        <w:rPr>
          <w:rFonts w:eastAsia="Arial"/>
          <w:color w:val="000000"/>
          <w:sz w:val="22"/>
          <w:szCs w:val="22"/>
        </w:rPr>
        <w:t>’</w:t>
      </w:r>
      <w:r w:rsidRPr="001363DD">
        <w:rPr>
          <w:rFonts w:eastAsia="Arial"/>
          <w:color w:val="000000"/>
          <w:sz w:val="22"/>
          <w:szCs w:val="22"/>
        </w:rPr>
        <w:t>s Indirect Cost Rate Agreement letter/documentation</w:t>
      </w:r>
    </w:p>
    <w:p w14:paraId="2E02B29E" w14:textId="77777777" w:rsidR="00BC10B9" w:rsidRPr="001363DD" w:rsidRDefault="00BC10B9" w:rsidP="00C3308E">
      <w:pPr>
        <w:ind w:left="720"/>
        <w:rPr>
          <w:rFonts w:eastAsia="Arial"/>
          <w:color w:val="000000"/>
          <w:sz w:val="22"/>
          <w:szCs w:val="22"/>
        </w:rPr>
      </w:pPr>
    </w:p>
    <w:p w14:paraId="388B33C9" w14:textId="77777777" w:rsidR="00BC10B9" w:rsidRPr="00C3308E" w:rsidRDefault="00343567" w:rsidP="00C3308E">
      <w:pPr>
        <w:ind w:left="720"/>
        <w:rPr>
          <w:rFonts w:eastAsia="Arial"/>
          <w:b/>
          <w:color w:val="000000"/>
          <w:sz w:val="22"/>
          <w:szCs w:val="22"/>
        </w:rPr>
      </w:pPr>
      <w:r w:rsidRPr="00C3308E">
        <w:rPr>
          <w:rFonts w:eastAsia="Arial"/>
          <w:b/>
          <w:i/>
          <w:sz w:val="22"/>
          <w:szCs w:val="22"/>
        </w:rPr>
        <w:t>Additional Indirect Costs Reporting Requirements</w:t>
      </w:r>
      <w:r w:rsidR="00C3308E">
        <w:rPr>
          <w:rFonts w:eastAsia="Arial"/>
          <w:color w:val="000000"/>
          <w:sz w:val="22"/>
          <w:szCs w:val="22"/>
        </w:rPr>
        <w:t xml:space="preserve">: </w:t>
      </w:r>
      <w:r w:rsidRPr="001363DD">
        <w:rPr>
          <w:rFonts w:eastAsia="Arial"/>
          <w:color w:val="000000"/>
          <w:sz w:val="22"/>
          <w:szCs w:val="22"/>
        </w:rPr>
        <w:t>For organizations that request and receive Indirect Costs, the MTDC Worksheet must be completed each quarter, based on actual expenses.</w:t>
      </w:r>
      <w:r w:rsidR="00DD1346" w:rsidRPr="001363DD">
        <w:rPr>
          <w:rFonts w:eastAsia="Arial"/>
          <w:color w:val="000000"/>
          <w:sz w:val="22"/>
          <w:szCs w:val="22"/>
        </w:rPr>
        <w:t xml:space="preserve"> The MTDC Worksheet should be emailed to </w:t>
      </w:r>
      <w:hyperlink r:id="rId28" w:history="1">
        <w:r w:rsidR="00DD1346" w:rsidRPr="001363DD">
          <w:rPr>
            <w:rStyle w:val="Hyperlink"/>
            <w:rFonts w:eastAsia="Arial"/>
            <w:sz w:val="22"/>
            <w:szCs w:val="22"/>
          </w:rPr>
          <w:t>grantsmgmt@dcjs.virginia.gov</w:t>
        </w:r>
      </w:hyperlink>
      <w:r w:rsidR="00DD1346" w:rsidRPr="001363DD">
        <w:rPr>
          <w:rFonts w:eastAsia="Arial"/>
          <w:color w:val="000000"/>
          <w:sz w:val="22"/>
          <w:szCs w:val="22"/>
        </w:rPr>
        <w:t xml:space="preserve"> each quarter.</w:t>
      </w:r>
    </w:p>
    <w:p w14:paraId="4F4E7E6F" w14:textId="77777777" w:rsidR="00DD1346" w:rsidRPr="001363DD" w:rsidRDefault="00DD1346" w:rsidP="00C3308E">
      <w:pPr>
        <w:ind w:left="720"/>
        <w:rPr>
          <w:rFonts w:eastAsia="Arial"/>
          <w:color w:val="000000"/>
          <w:sz w:val="22"/>
          <w:szCs w:val="22"/>
        </w:rPr>
      </w:pPr>
    </w:p>
    <w:p w14:paraId="11554F0E" w14:textId="77777777" w:rsidR="00BC10B9" w:rsidRDefault="00343567" w:rsidP="00C3308E">
      <w:pPr>
        <w:ind w:left="720"/>
        <w:rPr>
          <w:rFonts w:eastAsia="Arial"/>
          <w:color w:val="000000"/>
          <w:sz w:val="22"/>
          <w:szCs w:val="22"/>
        </w:rPr>
      </w:pPr>
      <w:r w:rsidRPr="001363DD">
        <w:rPr>
          <w:rFonts w:eastAsia="Arial"/>
          <w:color w:val="000000"/>
          <w:sz w:val="22"/>
          <w:szCs w:val="22"/>
        </w:rPr>
        <w:t>The actual MTDC amount will determine the amount of Indirect Costs to be reimbursed for that quarter. In other words, the amount of Indirect Costs reimbursed should/will vary from quarter to quarter. The amount of Indirect Costs requested for reimbursement each quarter cannot simply be the total for the year divided by four; the amount must be based on actual MTDC amounts.</w:t>
      </w:r>
    </w:p>
    <w:p w14:paraId="2A43A70C" w14:textId="77777777" w:rsidR="00BC10B9" w:rsidRPr="001363DD" w:rsidRDefault="00BC10B9" w:rsidP="001C4AFF">
      <w:pPr>
        <w:rPr>
          <w:rFonts w:eastAsia="Arial"/>
          <w:color w:val="000000"/>
          <w:sz w:val="22"/>
          <w:szCs w:val="22"/>
        </w:rPr>
      </w:pPr>
    </w:p>
    <w:p w14:paraId="357AF108" w14:textId="77777777" w:rsidR="00426153" w:rsidRPr="00C3308E" w:rsidRDefault="00426153" w:rsidP="006517C5">
      <w:pPr>
        <w:spacing w:before="120"/>
        <w:ind w:left="720"/>
        <w:rPr>
          <w:rFonts w:eastAsia="Arial"/>
          <w:b/>
          <w:caps/>
          <w:sz w:val="22"/>
          <w:szCs w:val="22"/>
        </w:rPr>
      </w:pPr>
      <w:bookmarkStart w:id="44" w:name="_3l18frh" w:colFirst="0" w:colLast="0"/>
      <w:bookmarkEnd w:id="44"/>
      <w:r w:rsidRPr="00C3308E">
        <w:rPr>
          <w:rFonts w:eastAsia="Arial"/>
          <w:b/>
          <w:caps/>
          <w:sz w:val="22"/>
          <w:szCs w:val="22"/>
        </w:rPr>
        <w:t>Cash Funds from Sources Other Than Grant Program Supporting This Project</w:t>
      </w:r>
    </w:p>
    <w:p w14:paraId="487D8045" w14:textId="32DE072A" w:rsidR="00426153" w:rsidRPr="001363DD" w:rsidRDefault="00426153" w:rsidP="00426153">
      <w:pPr>
        <w:ind w:left="720"/>
        <w:rPr>
          <w:rFonts w:eastAsia="Arial"/>
          <w:color w:val="000000"/>
          <w:sz w:val="22"/>
          <w:szCs w:val="22"/>
        </w:rPr>
      </w:pPr>
      <w:r w:rsidRPr="001363DD">
        <w:rPr>
          <w:rFonts w:eastAsia="Arial"/>
          <w:color w:val="000000"/>
          <w:sz w:val="22"/>
          <w:szCs w:val="22"/>
        </w:rPr>
        <w:t>Applicants must use this budget category to provide a description of the sources and amounts of cash from other sources that support this project.</w:t>
      </w:r>
    </w:p>
    <w:p w14:paraId="461FCCF7" w14:textId="7CF5E671" w:rsidR="00FC7154" w:rsidRPr="001363DD" w:rsidRDefault="00FC7154" w:rsidP="002E038D">
      <w:pPr>
        <w:ind w:left="720"/>
        <w:rPr>
          <w:rFonts w:eastAsia="Arial"/>
          <w:color w:val="000000"/>
          <w:sz w:val="22"/>
          <w:szCs w:val="22"/>
        </w:rPr>
      </w:pPr>
    </w:p>
    <w:p w14:paraId="766BE3E0" w14:textId="77777777" w:rsidR="00BC10B9" w:rsidRPr="001C4AFF" w:rsidRDefault="00DD1346" w:rsidP="006517C5">
      <w:pPr>
        <w:spacing w:before="120"/>
        <w:ind w:left="1080" w:hanging="360"/>
        <w:rPr>
          <w:rFonts w:eastAsia="Arial"/>
          <w:b/>
          <w:caps/>
          <w:sz w:val="22"/>
          <w:szCs w:val="22"/>
        </w:rPr>
      </w:pPr>
      <w:bookmarkStart w:id="45" w:name="_206ipza" w:colFirst="0" w:colLast="0"/>
      <w:bookmarkEnd w:id="45"/>
      <w:r w:rsidRPr="001C4AFF">
        <w:rPr>
          <w:rFonts w:eastAsia="Arial"/>
          <w:b/>
          <w:caps/>
          <w:sz w:val="22"/>
          <w:szCs w:val="22"/>
        </w:rPr>
        <w:t>Non-S</w:t>
      </w:r>
      <w:r w:rsidR="00343567" w:rsidRPr="001C4AFF">
        <w:rPr>
          <w:rFonts w:eastAsia="Arial"/>
          <w:b/>
          <w:caps/>
          <w:sz w:val="22"/>
          <w:szCs w:val="22"/>
        </w:rPr>
        <w:t>upplantation</w:t>
      </w:r>
    </w:p>
    <w:p w14:paraId="2411FEC4" w14:textId="2F8AA009" w:rsidR="00BC10B9" w:rsidRPr="001363DD" w:rsidRDefault="00343567" w:rsidP="001C4AFF">
      <w:pPr>
        <w:ind w:left="720"/>
        <w:rPr>
          <w:rFonts w:eastAsia="Arial"/>
          <w:color w:val="000000"/>
          <w:sz w:val="22"/>
          <w:szCs w:val="22"/>
        </w:rPr>
      </w:pPr>
      <w:r w:rsidRPr="001363DD">
        <w:rPr>
          <w:rFonts w:eastAsia="Arial"/>
          <w:color w:val="000000"/>
          <w:sz w:val="22"/>
          <w:szCs w:val="22"/>
        </w:rPr>
        <w:t xml:space="preserve">The federal Department of Justice (DOJ) 2017 Grants Financial Guide describes supplantation as follows: </w:t>
      </w:r>
      <w:r w:rsidR="00A8140A">
        <w:rPr>
          <w:rFonts w:eastAsia="Arial"/>
          <w:color w:val="000000"/>
          <w:sz w:val="22"/>
          <w:szCs w:val="22"/>
        </w:rPr>
        <w:t>“</w:t>
      </w:r>
      <w:r w:rsidRPr="001363DD">
        <w:rPr>
          <w:rFonts w:eastAsia="Arial"/>
          <w:color w:val="000000"/>
          <w:sz w:val="22"/>
          <w:szCs w:val="22"/>
        </w:rPr>
        <w:t>Federal funds must be used to supplement existing state and local funds for program activities and must not supplant (replace) those funds that have been appropriated for the same purpose.</w:t>
      </w:r>
      <w:r w:rsidR="00A8140A">
        <w:rPr>
          <w:rFonts w:eastAsia="Arial"/>
          <w:color w:val="000000"/>
          <w:sz w:val="22"/>
          <w:szCs w:val="22"/>
        </w:rPr>
        <w:t>”</w:t>
      </w:r>
      <w:r w:rsidRPr="001363DD">
        <w:rPr>
          <w:rFonts w:eastAsia="Arial"/>
          <w:color w:val="000000"/>
          <w:sz w:val="22"/>
          <w:szCs w:val="22"/>
        </w:rPr>
        <w:t xml:space="preserve"> Requests for </w:t>
      </w:r>
      <w:r w:rsidR="00A8140A">
        <w:rPr>
          <w:rFonts w:eastAsia="Arial"/>
          <w:color w:val="000000"/>
          <w:sz w:val="22"/>
          <w:szCs w:val="22"/>
        </w:rPr>
        <w:t>“</w:t>
      </w:r>
      <w:r w:rsidRPr="001363DD">
        <w:rPr>
          <w:rFonts w:eastAsia="Arial"/>
          <w:color w:val="000000"/>
          <w:sz w:val="22"/>
          <w:szCs w:val="22"/>
        </w:rPr>
        <w:t>new</w:t>
      </w:r>
      <w:r w:rsidR="00A8140A">
        <w:rPr>
          <w:rFonts w:eastAsia="Arial"/>
          <w:color w:val="000000"/>
          <w:sz w:val="22"/>
          <w:szCs w:val="22"/>
        </w:rPr>
        <w:t>”</w:t>
      </w:r>
      <w:r w:rsidRPr="001363DD">
        <w:rPr>
          <w:rFonts w:eastAsia="Arial"/>
          <w:color w:val="000000"/>
          <w:sz w:val="22"/>
          <w:szCs w:val="22"/>
        </w:rPr>
        <w:t xml:space="preserve"> staff positions must be justified, must not supplant other funds, and must result in significant additional service delivery.</w:t>
      </w:r>
    </w:p>
    <w:p w14:paraId="61675861" w14:textId="77777777" w:rsidR="00BC10B9" w:rsidRPr="001363DD" w:rsidRDefault="00BC10B9" w:rsidP="001C4AFF">
      <w:pPr>
        <w:ind w:left="720"/>
        <w:rPr>
          <w:rFonts w:eastAsia="Arial"/>
          <w:color w:val="000000"/>
          <w:sz w:val="22"/>
          <w:szCs w:val="22"/>
        </w:rPr>
      </w:pPr>
    </w:p>
    <w:p w14:paraId="54B65D66" w14:textId="0B20D5E2" w:rsidR="00BC10B9" w:rsidRPr="001363DD" w:rsidRDefault="00343567" w:rsidP="001C4AFF">
      <w:pPr>
        <w:ind w:left="720"/>
        <w:rPr>
          <w:rFonts w:eastAsia="Arial"/>
          <w:color w:val="000000"/>
          <w:sz w:val="22"/>
          <w:szCs w:val="22"/>
        </w:rPr>
      </w:pPr>
      <w:r w:rsidRPr="001363DD">
        <w:rPr>
          <w:rFonts w:eastAsia="Arial"/>
          <w:color w:val="000000"/>
          <w:sz w:val="22"/>
          <w:szCs w:val="22"/>
        </w:rPr>
        <w:t xml:space="preserve">Applicants under this grant program must describe non-grant funds supporting their projects and must identify </w:t>
      </w:r>
      <w:r w:rsidR="004126E1" w:rsidRPr="001363DD">
        <w:rPr>
          <w:rFonts w:eastAsia="Arial"/>
          <w:color w:val="000000"/>
          <w:sz w:val="22"/>
          <w:szCs w:val="22"/>
        </w:rPr>
        <w:t>records that</w:t>
      </w:r>
      <w:r w:rsidRPr="001363DD">
        <w:rPr>
          <w:rFonts w:eastAsia="Arial"/>
          <w:color w:val="000000"/>
          <w:sz w:val="22"/>
          <w:szCs w:val="22"/>
        </w:rPr>
        <w:t xml:space="preserve"> document the level of non-VOCA support and satisfy the non-supplantation requirement. Be sure to describe whether the expenses requested in this grant application compliment, and do not duplicate, other existing and anticipated funding sources/amounts that your agency receives.</w:t>
      </w:r>
    </w:p>
    <w:p w14:paraId="7329FBED" w14:textId="77777777" w:rsidR="00BC10B9" w:rsidRPr="001363DD" w:rsidRDefault="00BC10B9" w:rsidP="002E038D">
      <w:pPr>
        <w:ind w:left="720"/>
        <w:rPr>
          <w:rFonts w:eastAsia="Arial"/>
          <w:sz w:val="22"/>
          <w:szCs w:val="22"/>
        </w:rPr>
      </w:pPr>
    </w:p>
    <w:p w14:paraId="7C658B89" w14:textId="77777777" w:rsidR="006517C5" w:rsidRDefault="006517C5">
      <w:pPr>
        <w:rPr>
          <w:rFonts w:eastAsia="Arial"/>
          <w:b/>
          <w:sz w:val="22"/>
          <w:szCs w:val="22"/>
        </w:rPr>
      </w:pPr>
      <w:r>
        <w:rPr>
          <w:rFonts w:eastAsia="Arial"/>
          <w:b/>
          <w:sz w:val="22"/>
          <w:szCs w:val="22"/>
        </w:rPr>
        <w:br w:type="page"/>
      </w:r>
    </w:p>
    <w:p w14:paraId="41D3CA77" w14:textId="28090084" w:rsidR="00D23C9D" w:rsidRDefault="00D23C9D" w:rsidP="00FC7154">
      <w:pPr>
        <w:rPr>
          <w:rFonts w:eastAsia="Arial"/>
          <w:b/>
          <w:sz w:val="22"/>
          <w:szCs w:val="22"/>
        </w:rPr>
      </w:pPr>
      <w:r>
        <w:rPr>
          <w:rFonts w:eastAsia="Arial"/>
          <w:b/>
          <w:sz w:val="22"/>
          <w:szCs w:val="22"/>
        </w:rPr>
        <w:lastRenderedPageBreak/>
        <w:t>Project Description</w:t>
      </w:r>
    </w:p>
    <w:p w14:paraId="750B109E" w14:textId="77777777" w:rsidR="00D23C9D" w:rsidRPr="00D23C9D" w:rsidRDefault="00D23C9D" w:rsidP="00D23C9D">
      <w:pPr>
        <w:ind w:left="360"/>
        <w:rPr>
          <w:rFonts w:eastAsia="Arial"/>
          <w:b/>
          <w:i/>
          <w:caps/>
          <w:sz w:val="22"/>
          <w:szCs w:val="22"/>
        </w:rPr>
      </w:pPr>
    </w:p>
    <w:p w14:paraId="1AC6BFBD" w14:textId="38F5D799" w:rsidR="00DD1346" w:rsidRPr="001363DD" w:rsidRDefault="00343567" w:rsidP="00D23C9D">
      <w:pPr>
        <w:ind w:left="360"/>
        <w:rPr>
          <w:rFonts w:eastAsia="Arial"/>
          <w:sz w:val="22"/>
          <w:szCs w:val="22"/>
        </w:rPr>
      </w:pPr>
      <w:r w:rsidRPr="00D23C9D">
        <w:rPr>
          <w:rFonts w:eastAsia="Arial"/>
          <w:sz w:val="22"/>
          <w:szCs w:val="22"/>
        </w:rPr>
        <w:t>Address</w:t>
      </w:r>
      <w:r w:rsidRPr="001363DD">
        <w:rPr>
          <w:rFonts w:eastAsia="Arial"/>
          <w:sz w:val="22"/>
          <w:szCs w:val="22"/>
        </w:rPr>
        <w:t xml:space="preserve"> the following (1 through </w:t>
      </w:r>
      <w:r w:rsidR="005E7B86">
        <w:rPr>
          <w:rFonts w:eastAsia="Arial"/>
          <w:sz w:val="22"/>
          <w:szCs w:val="22"/>
        </w:rPr>
        <w:t>6</w:t>
      </w:r>
      <w:r w:rsidRPr="001363DD">
        <w:rPr>
          <w:rFonts w:eastAsia="Arial"/>
          <w:sz w:val="22"/>
          <w:szCs w:val="22"/>
        </w:rPr>
        <w:t xml:space="preserve">) in a </w:t>
      </w:r>
      <w:r w:rsidRPr="001363DD">
        <w:rPr>
          <w:rFonts w:eastAsia="Arial"/>
          <w:i/>
          <w:sz w:val="22"/>
          <w:szCs w:val="22"/>
        </w:rPr>
        <w:t xml:space="preserve">Microsoft Word </w:t>
      </w:r>
      <w:r w:rsidRPr="001363DD">
        <w:rPr>
          <w:rFonts w:eastAsia="Arial"/>
          <w:sz w:val="22"/>
          <w:szCs w:val="22"/>
        </w:rPr>
        <w:t>document with 1 inch margins, single spaced, with a 12</w:t>
      </w:r>
      <w:r w:rsidR="00B41E43" w:rsidRPr="001363DD">
        <w:rPr>
          <w:rFonts w:eastAsia="Arial"/>
          <w:sz w:val="22"/>
          <w:szCs w:val="22"/>
        </w:rPr>
        <w:t>-</w:t>
      </w:r>
      <w:r w:rsidRPr="001363DD">
        <w:rPr>
          <w:rFonts w:eastAsia="Arial"/>
          <w:sz w:val="22"/>
          <w:szCs w:val="22"/>
        </w:rPr>
        <w:t xml:space="preserve">point font size. To assist application reviewers, please use the numbered headings and subheadings (in bold); follow the page guidelines provided; and when instructions say </w:t>
      </w:r>
      <w:r w:rsidR="00A8140A">
        <w:rPr>
          <w:rFonts w:eastAsia="Arial"/>
          <w:sz w:val="22"/>
          <w:szCs w:val="22"/>
        </w:rPr>
        <w:t>“</w:t>
      </w:r>
      <w:r w:rsidRPr="001363DD">
        <w:rPr>
          <w:rFonts w:eastAsia="Arial"/>
          <w:sz w:val="22"/>
          <w:szCs w:val="22"/>
        </w:rPr>
        <w:t>list,</w:t>
      </w:r>
      <w:r w:rsidR="00A8140A">
        <w:rPr>
          <w:rFonts w:eastAsia="Arial"/>
          <w:sz w:val="22"/>
          <w:szCs w:val="22"/>
        </w:rPr>
        <w:t>”</w:t>
      </w:r>
      <w:r w:rsidRPr="001363DD">
        <w:rPr>
          <w:rFonts w:eastAsia="Arial"/>
          <w:sz w:val="22"/>
          <w:szCs w:val="22"/>
        </w:rPr>
        <w:t xml:space="preserve"> please provide a list instead of a narrative paragraph. </w:t>
      </w:r>
      <w:bookmarkStart w:id="46" w:name="_3as4poj" w:colFirst="0" w:colLast="0"/>
      <w:bookmarkEnd w:id="46"/>
    </w:p>
    <w:p w14:paraId="55B6702E" w14:textId="77777777" w:rsidR="00DD1346" w:rsidRPr="001363DD" w:rsidRDefault="00DD1346" w:rsidP="00EB415B">
      <w:pPr>
        <w:rPr>
          <w:rFonts w:eastAsia="Arial"/>
          <w:b/>
          <w:sz w:val="22"/>
          <w:szCs w:val="22"/>
        </w:rPr>
      </w:pPr>
    </w:p>
    <w:p w14:paraId="52FA693B" w14:textId="77777777" w:rsidR="00DD1346" w:rsidRPr="001363DD" w:rsidRDefault="00343567" w:rsidP="00571DE4">
      <w:pPr>
        <w:pStyle w:val="ListParagraph"/>
        <w:numPr>
          <w:ilvl w:val="0"/>
          <w:numId w:val="32"/>
        </w:numPr>
        <w:pBdr>
          <w:top w:val="nil"/>
          <w:left w:val="nil"/>
          <w:bottom w:val="nil"/>
          <w:right w:val="nil"/>
          <w:between w:val="nil"/>
        </w:pBdr>
        <w:rPr>
          <w:rFonts w:eastAsia="Arial"/>
          <w:b/>
          <w:sz w:val="22"/>
          <w:szCs w:val="22"/>
        </w:rPr>
      </w:pPr>
      <w:r w:rsidRPr="001363DD">
        <w:rPr>
          <w:rFonts w:eastAsia="Arial"/>
          <w:b/>
          <w:sz w:val="22"/>
          <w:szCs w:val="22"/>
        </w:rPr>
        <w:t>Summary Project Description, Goals</w:t>
      </w:r>
      <w:r w:rsidR="00DD1346" w:rsidRPr="001363DD">
        <w:rPr>
          <w:rFonts w:eastAsia="Arial"/>
          <w:b/>
          <w:sz w:val="22"/>
          <w:szCs w:val="22"/>
        </w:rPr>
        <w:t>,</w:t>
      </w:r>
      <w:r w:rsidRPr="001363DD">
        <w:rPr>
          <w:rFonts w:eastAsia="Arial"/>
          <w:b/>
          <w:sz w:val="22"/>
          <w:szCs w:val="22"/>
        </w:rPr>
        <w:t xml:space="preserve"> a</w:t>
      </w:r>
      <w:r w:rsidR="00DD1346" w:rsidRPr="001363DD">
        <w:rPr>
          <w:rFonts w:eastAsia="Arial"/>
          <w:b/>
          <w:sz w:val="22"/>
          <w:szCs w:val="22"/>
        </w:rPr>
        <w:t>nd Objectives</w:t>
      </w:r>
    </w:p>
    <w:p w14:paraId="0F22DAD4" w14:textId="73C94178" w:rsidR="000468A1" w:rsidRPr="000468A1" w:rsidRDefault="00343567" w:rsidP="000468A1">
      <w:pPr>
        <w:pStyle w:val="ListParagraph"/>
        <w:spacing w:after="60"/>
        <w:rPr>
          <w:rFonts w:eastAsia="Arial"/>
          <w:sz w:val="22"/>
          <w:szCs w:val="22"/>
        </w:rPr>
      </w:pPr>
      <w:r w:rsidRPr="001363DD">
        <w:rPr>
          <w:rFonts w:eastAsia="Arial"/>
          <w:sz w:val="22"/>
          <w:szCs w:val="22"/>
        </w:rPr>
        <w:t>(1 pag</w:t>
      </w:r>
      <w:r w:rsidR="0057371F" w:rsidRPr="001363DD">
        <w:rPr>
          <w:rFonts w:eastAsia="Arial"/>
          <w:sz w:val="22"/>
          <w:szCs w:val="22"/>
        </w:rPr>
        <w:t>e maximum</w:t>
      </w:r>
      <w:r w:rsidR="00B41E43" w:rsidRPr="001363DD">
        <w:rPr>
          <w:rFonts w:eastAsia="Arial"/>
          <w:sz w:val="22"/>
          <w:szCs w:val="22"/>
        </w:rPr>
        <w:t xml:space="preserve"> + Attachment</w:t>
      </w:r>
      <w:r w:rsidRPr="001363DD">
        <w:rPr>
          <w:rFonts w:eastAsia="Arial"/>
          <w:sz w:val="22"/>
          <w:szCs w:val="22"/>
        </w:rPr>
        <w:t>)</w:t>
      </w:r>
    </w:p>
    <w:p w14:paraId="1ACD4F5B" w14:textId="52702489" w:rsidR="00DD1346" w:rsidRDefault="00343567" w:rsidP="006517C5">
      <w:pPr>
        <w:numPr>
          <w:ilvl w:val="0"/>
          <w:numId w:val="3"/>
        </w:numPr>
        <w:spacing w:after="60" w:line="276" w:lineRule="auto"/>
        <w:ind w:left="1080"/>
        <w:rPr>
          <w:rFonts w:eastAsia="Arial"/>
          <w:sz w:val="22"/>
          <w:szCs w:val="22"/>
        </w:rPr>
      </w:pPr>
      <w:r w:rsidRPr="001363DD">
        <w:rPr>
          <w:rFonts w:eastAsia="Arial"/>
          <w:b/>
          <w:sz w:val="22"/>
          <w:szCs w:val="22"/>
        </w:rPr>
        <w:t xml:space="preserve">Summary </w:t>
      </w:r>
      <w:r w:rsidR="00DD1346" w:rsidRPr="001363DD">
        <w:rPr>
          <w:rFonts w:eastAsia="Arial"/>
          <w:b/>
          <w:sz w:val="22"/>
          <w:szCs w:val="22"/>
        </w:rPr>
        <w:t>Project Description:</w:t>
      </w:r>
      <w:r w:rsidRPr="001363DD">
        <w:rPr>
          <w:rFonts w:eastAsia="Arial"/>
          <w:sz w:val="22"/>
          <w:szCs w:val="22"/>
        </w:rPr>
        <w:t xml:space="preserve"> Provide a clear concise summary of the proposed project</w:t>
      </w:r>
      <w:r w:rsidR="009F070E" w:rsidRPr="001363DD">
        <w:rPr>
          <w:rFonts w:eastAsia="Arial"/>
          <w:sz w:val="22"/>
          <w:szCs w:val="22"/>
        </w:rPr>
        <w:t>,</w:t>
      </w:r>
      <w:r w:rsidRPr="001363DD">
        <w:rPr>
          <w:rFonts w:eastAsia="Arial"/>
          <w:sz w:val="22"/>
          <w:szCs w:val="22"/>
        </w:rPr>
        <w:t xml:space="preserve"> including its primary goals and objectives and including an estimate of the total number of victims to be served d</w:t>
      </w:r>
      <w:r w:rsidR="00DD1346" w:rsidRPr="001363DD">
        <w:rPr>
          <w:rFonts w:eastAsia="Arial"/>
          <w:sz w:val="22"/>
          <w:szCs w:val="22"/>
        </w:rPr>
        <w:t>uring each fiscal year.</w:t>
      </w:r>
    </w:p>
    <w:p w14:paraId="07064993" w14:textId="1F598113" w:rsidR="00D23510" w:rsidRDefault="00343567" w:rsidP="006517C5">
      <w:pPr>
        <w:numPr>
          <w:ilvl w:val="0"/>
          <w:numId w:val="3"/>
        </w:numPr>
        <w:spacing w:after="60" w:line="276" w:lineRule="auto"/>
        <w:ind w:left="1080"/>
        <w:rPr>
          <w:rFonts w:eastAsia="Arial"/>
          <w:sz w:val="22"/>
          <w:szCs w:val="22"/>
        </w:rPr>
      </w:pPr>
      <w:bookmarkStart w:id="47" w:name="_1pxezwc" w:colFirst="0" w:colLast="0"/>
      <w:bookmarkEnd w:id="47"/>
      <w:r w:rsidRPr="00C528AC">
        <w:rPr>
          <w:rFonts w:eastAsia="Arial"/>
          <w:b/>
          <w:sz w:val="22"/>
          <w:szCs w:val="22"/>
        </w:rPr>
        <w:t>Capability</w:t>
      </w:r>
      <w:r w:rsidRPr="00C528AC">
        <w:rPr>
          <w:rFonts w:eastAsia="Arial"/>
          <w:sz w:val="22"/>
          <w:szCs w:val="22"/>
        </w:rPr>
        <w:t>: Describe the agency</w:t>
      </w:r>
      <w:r w:rsidR="00A8140A">
        <w:rPr>
          <w:rFonts w:eastAsia="Arial"/>
          <w:sz w:val="22"/>
          <w:szCs w:val="22"/>
        </w:rPr>
        <w:t>’</w:t>
      </w:r>
      <w:r w:rsidRPr="00C528AC">
        <w:rPr>
          <w:rFonts w:eastAsia="Arial"/>
          <w:sz w:val="22"/>
          <w:szCs w:val="22"/>
        </w:rPr>
        <w:t>s knowledge and capability to carry out the project based on demonstrated experience in providing victim services to the target population. Public agencies must cite their statutory and/or local governing authority.</w:t>
      </w:r>
    </w:p>
    <w:p w14:paraId="54521860" w14:textId="48BD29BA" w:rsidR="00D23510" w:rsidRDefault="0057371F" w:rsidP="006517C5">
      <w:pPr>
        <w:numPr>
          <w:ilvl w:val="0"/>
          <w:numId w:val="3"/>
        </w:numPr>
        <w:spacing w:after="60" w:line="276" w:lineRule="auto"/>
        <w:ind w:left="1080"/>
        <w:rPr>
          <w:rFonts w:eastAsia="Arial"/>
          <w:sz w:val="22"/>
          <w:szCs w:val="22"/>
        </w:rPr>
      </w:pPr>
      <w:r w:rsidRPr="00D23510">
        <w:rPr>
          <w:rFonts w:eastAsia="Arial"/>
          <w:b/>
          <w:sz w:val="22"/>
          <w:szCs w:val="22"/>
        </w:rPr>
        <w:t>VOCA Initial Readiness Assessment:</w:t>
      </w:r>
      <w:r w:rsidRPr="00D23510">
        <w:rPr>
          <w:rFonts w:eastAsia="Arial"/>
          <w:sz w:val="22"/>
          <w:szCs w:val="22"/>
        </w:rPr>
        <w:t xml:space="preserve"> </w:t>
      </w:r>
      <w:r w:rsidR="00827EDE" w:rsidRPr="00D23510">
        <w:rPr>
          <w:rFonts w:eastAsia="Arial"/>
          <w:sz w:val="22"/>
          <w:szCs w:val="22"/>
        </w:rPr>
        <w:t xml:space="preserve">Complete Attachment </w:t>
      </w:r>
      <w:r w:rsidR="003803FD">
        <w:rPr>
          <w:rFonts w:eastAsia="Arial"/>
          <w:sz w:val="22"/>
          <w:szCs w:val="22"/>
        </w:rPr>
        <w:t>9</w:t>
      </w:r>
      <w:r w:rsidR="00827EDE" w:rsidRPr="00D23510">
        <w:rPr>
          <w:rFonts w:eastAsia="Arial"/>
          <w:sz w:val="22"/>
          <w:szCs w:val="22"/>
        </w:rPr>
        <w:t>.</w:t>
      </w:r>
    </w:p>
    <w:p w14:paraId="4C9730EB" w14:textId="77777777" w:rsidR="0057371F" w:rsidRPr="00CD56DC" w:rsidRDefault="009F070E" w:rsidP="00CD56DC">
      <w:pPr>
        <w:pStyle w:val="ListParagraph"/>
        <w:numPr>
          <w:ilvl w:val="0"/>
          <w:numId w:val="3"/>
        </w:numPr>
        <w:spacing w:line="276" w:lineRule="auto"/>
        <w:ind w:left="1080"/>
        <w:rPr>
          <w:rFonts w:eastAsia="Arial"/>
          <w:sz w:val="22"/>
          <w:szCs w:val="22"/>
        </w:rPr>
      </w:pPr>
      <w:r w:rsidRPr="00CD56DC">
        <w:rPr>
          <w:rFonts w:eastAsia="Arial"/>
          <w:b/>
          <w:sz w:val="22"/>
          <w:szCs w:val="22"/>
        </w:rPr>
        <w:t>Nonprofit Organizations:</w:t>
      </w:r>
      <w:r w:rsidRPr="00CD56DC">
        <w:rPr>
          <w:rFonts w:eastAsia="Arial"/>
          <w:sz w:val="22"/>
          <w:szCs w:val="22"/>
        </w:rPr>
        <w:t xml:space="preserve"> </w:t>
      </w:r>
      <w:r w:rsidR="00827EDE" w:rsidRPr="00CD56DC">
        <w:rPr>
          <w:rFonts w:eastAsia="Arial"/>
          <w:sz w:val="22"/>
          <w:szCs w:val="22"/>
        </w:rPr>
        <w:t>Attach IRS 501(c)</w:t>
      </w:r>
      <w:r w:rsidR="0057371F" w:rsidRPr="00CD56DC">
        <w:rPr>
          <w:rFonts w:eastAsia="Arial"/>
          <w:sz w:val="22"/>
          <w:szCs w:val="22"/>
        </w:rPr>
        <w:t>(3</w:t>
      </w:r>
      <w:r w:rsidRPr="00CD56DC">
        <w:rPr>
          <w:rFonts w:eastAsia="Arial"/>
          <w:sz w:val="22"/>
          <w:szCs w:val="22"/>
        </w:rPr>
        <w:t>) status letter.</w:t>
      </w:r>
    </w:p>
    <w:p w14:paraId="2DA35865" w14:textId="77777777" w:rsidR="00D23C9D" w:rsidRPr="001363DD" w:rsidRDefault="00D23C9D" w:rsidP="00EB415B">
      <w:pPr>
        <w:spacing w:line="276" w:lineRule="auto"/>
        <w:ind w:left="720"/>
        <w:rPr>
          <w:rFonts w:eastAsia="Arial"/>
          <w:sz w:val="22"/>
          <w:szCs w:val="22"/>
        </w:rPr>
      </w:pPr>
    </w:p>
    <w:p w14:paraId="6E82F594" w14:textId="77777777" w:rsidR="009F070E" w:rsidRPr="001363DD" w:rsidRDefault="00343567" w:rsidP="00571DE4">
      <w:pPr>
        <w:pStyle w:val="ListParagraph"/>
        <w:numPr>
          <w:ilvl w:val="0"/>
          <w:numId w:val="32"/>
        </w:numPr>
        <w:pBdr>
          <w:top w:val="nil"/>
          <w:left w:val="nil"/>
          <w:bottom w:val="nil"/>
          <w:right w:val="nil"/>
          <w:between w:val="nil"/>
        </w:pBdr>
        <w:rPr>
          <w:rFonts w:eastAsia="Arial"/>
          <w:b/>
          <w:sz w:val="22"/>
          <w:szCs w:val="22"/>
        </w:rPr>
      </w:pPr>
      <w:bookmarkStart w:id="48" w:name="_49x2ik5" w:colFirst="0" w:colLast="0"/>
      <w:bookmarkEnd w:id="48"/>
      <w:r w:rsidRPr="001363DD">
        <w:rPr>
          <w:rFonts w:eastAsia="Arial"/>
          <w:b/>
          <w:sz w:val="22"/>
          <w:szCs w:val="22"/>
        </w:rPr>
        <w:t>Prob</w:t>
      </w:r>
      <w:r w:rsidR="009F070E" w:rsidRPr="001363DD">
        <w:rPr>
          <w:rFonts w:eastAsia="Arial"/>
          <w:b/>
          <w:sz w:val="22"/>
          <w:szCs w:val="22"/>
        </w:rPr>
        <w:t>lem Statement/Needs Assessment</w:t>
      </w:r>
    </w:p>
    <w:p w14:paraId="31141545" w14:textId="77777777" w:rsidR="00BC10B9" w:rsidRPr="001363DD" w:rsidRDefault="00343567" w:rsidP="006517C5">
      <w:pPr>
        <w:pStyle w:val="ListParagraph"/>
        <w:keepNext/>
        <w:keepLines/>
        <w:spacing w:after="60"/>
        <w:contextualSpacing w:val="0"/>
        <w:rPr>
          <w:rFonts w:eastAsia="Arial"/>
          <w:sz w:val="22"/>
          <w:szCs w:val="22"/>
        </w:rPr>
      </w:pPr>
      <w:r w:rsidRPr="001363DD">
        <w:rPr>
          <w:rFonts w:eastAsia="Arial"/>
          <w:sz w:val="22"/>
          <w:szCs w:val="22"/>
        </w:rPr>
        <w:t>(4 pages maximum)</w:t>
      </w:r>
    </w:p>
    <w:p w14:paraId="7B6C70E4" w14:textId="495F8A69" w:rsidR="00BC10B9" w:rsidRDefault="00343567" w:rsidP="006517C5">
      <w:pPr>
        <w:numPr>
          <w:ilvl w:val="0"/>
          <w:numId w:val="5"/>
        </w:numPr>
        <w:spacing w:after="60" w:line="276" w:lineRule="auto"/>
        <w:ind w:left="1080"/>
        <w:rPr>
          <w:rFonts w:eastAsia="Arial"/>
          <w:sz w:val="22"/>
          <w:szCs w:val="22"/>
        </w:rPr>
      </w:pPr>
      <w:r w:rsidRPr="001363DD">
        <w:rPr>
          <w:rFonts w:eastAsia="Arial"/>
          <w:b/>
          <w:sz w:val="22"/>
          <w:szCs w:val="22"/>
        </w:rPr>
        <w:t>Summary Problem Statement:</w:t>
      </w:r>
      <w:r w:rsidRPr="001363DD">
        <w:rPr>
          <w:rFonts w:eastAsia="Arial"/>
          <w:sz w:val="22"/>
          <w:szCs w:val="22"/>
        </w:rPr>
        <w:t xml:space="preserve"> Identify the specific problem(s), target population, and geographic area that the proposed project will address.</w:t>
      </w:r>
    </w:p>
    <w:p w14:paraId="0A33DF9B" w14:textId="7E81BD41" w:rsidR="00BC10B9" w:rsidRDefault="00343567" w:rsidP="006517C5">
      <w:pPr>
        <w:numPr>
          <w:ilvl w:val="0"/>
          <w:numId w:val="5"/>
        </w:numPr>
        <w:spacing w:after="60" w:line="276" w:lineRule="auto"/>
        <w:ind w:left="1080"/>
        <w:rPr>
          <w:rFonts w:eastAsia="Arial"/>
          <w:sz w:val="22"/>
          <w:szCs w:val="22"/>
        </w:rPr>
      </w:pPr>
      <w:r w:rsidRPr="001363DD">
        <w:rPr>
          <w:rFonts w:eastAsia="Arial"/>
          <w:b/>
          <w:sz w:val="22"/>
          <w:szCs w:val="22"/>
        </w:rPr>
        <w:t>Existing Services and Service Gaps</w:t>
      </w:r>
      <w:r w:rsidRPr="001363DD">
        <w:rPr>
          <w:rFonts w:eastAsia="Arial"/>
          <w:sz w:val="22"/>
          <w:szCs w:val="22"/>
        </w:rPr>
        <w:t>. Describe existing services and identify gaps and/or barriers in services. Include current statistics and relevant facts to substantiate the need for and selection of the proposed project. Demonstrate that the proposed solution or project is evidence-based and trauma-informed.</w:t>
      </w:r>
    </w:p>
    <w:p w14:paraId="0315EBB1" w14:textId="711B6A98" w:rsidR="00BC10B9" w:rsidRDefault="00343567" w:rsidP="006517C5">
      <w:pPr>
        <w:numPr>
          <w:ilvl w:val="0"/>
          <w:numId w:val="5"/>
        </w:numPr>
        <w:spacing w:after="60" w:line="276" w:lineRule="auto"/>
        <w:ind w:left="1080"/>
        <w:rPr>
          <w:rFonts w:eastAsia="Arial"/>
          <w:sz w:val="22"/>
          <w:szCs w:val="22"/>
        </w:rPr>
      </w:pPr>
      <w:r w:rsidRPr="001363DD">
        <w:rPr>
          <w:rFonts w:eastAsia="Arial"/>
          <w:b/>
          <w:sz w:val="22"/>
          <w:szCs w:val="22"/>
        </w:rPr>
        <w:t>Demand for Proposed Services</w:t>
      </w:r>
      <w:r w:rsidRPr="001363DD">
        <w:rPr>
          <w:rFonts w:eastAsia="Arial"/>
          <w:sz w:val="22"/>
          <w:szCs w:val="22"/>
        </w:rPr>
        <w:t xml:space="preserve">. Identify the demand and need for proposed crime victim services for the population you intend to serve. </w:t>
      </w:r>
      <w:r w:rsidR="003803FD">
        <w:rPr>
          <w:rFonts w:eastAsia="Arial"/>
          <w:sz w:val="22"/>
          <w:szCs w:val="22"/>
        </w:rPr>
        <w:t>Describe h</w:t>
      </w:r>
      <w:r w:rsidRPr="001363DD">
        <w:rPr>
          <w:rFonts w:eastAsia="Arial"/>
          <w:sz w:val="22"/>
          <w:szCs w:val="22"/>
        </w:rPr>
        <w:t>ow the proposed services</w:t>
      </w:r>
      <w:r w:rsidR="003803FD">
        <w:rPr>
          <w:rFonts w:eastAsia="Arial"/>
          <w:sz w:val="22"/>
          <w:szCs w:val="22"/>
        </w:rPr>
        <w:t xml:space="preserve"> will</w:t>
      </w:r>
      <w:r w:rsidRPr="001363DD">
        <w:rPr>
          <w:rFonts w:eastAsia="Arial"/>
          <w:sz w:val="22"/>
          <w:szCs w:val="22"/>
        </w:rPr>
        <w:t xml:space="preserve"> solve the problem as stated in section </w:t>
      </w:r>
      <w:r w:rsidR="00036AC8" w:rsidRPr="001363DD">
        <w:rPr>
          <w:rFonts w:eastAsia="Arial"/>
          <w:sz w:val="22"/>
          <w:szCs w:val="22"/>
        </w:rPr>
        <w:t>(</w:t>
      </w:r>
      <w:r w:rsidR="003803FD">
        <w:rPr>
          <w:rFonts w:eastAsia="Arial"/>
          <w:sz w:val="22"/>
          <w:szCs w:val="22"/>
        </w:rPr>
        <w:t>a).</w:t>
      </w:r>
    </w:p>
    <w:p w14:paraId="7AFFA97B" w14:textId="0892A8EA" w:rsidR="00BC10B9" w:rsidRPr="0084367B" w:rsidRDefault="00343567" w:rsidP="006517C5">
      <w:pPr>
        <w:numPr>
          <w:ilvl w:val="0"/>
          <w:numId w:val="5"/>
        </w:numPr>
        <w:spacing w:after="60" w:line="276" w:lineRule="auto"/>
        <w:ind w:left="1080"/>
        <w:rPr>
          <w:rFonts w:eastAsia="Arial"/>
          <w:sz w:val="22"/>
          <w:szCs w:val="22"/>
        </w:rPr>
      </w:pPr>
      <w:r w:rsidRPr="001363DD">
        <w:rPr>
          <w:rFonts w:eastAsia="Arial"/>
          <w:b/>
          <w:sz w:val="22"/>
          <w:szCs w:val="22"/>
        </w:rPr>
        <w:t xml:space="preserve">List and Prioritize Needs. </w:t>
      </w:r>
      <w:r w:rsidRPr="001363DD">
        <w:rPr>
          <w:rFonts w:eastAsia="Arial"/>
          <w:sz w:val="22"/>
          <w:szCs w:val="22"/>
        </w:rPr>
        <w:t>Clearly li</w:t>
      </w:r>
      <w:r w:rsidR="00B575F5">
        <w:rPr>
          <w:rFonts w:eastAsia="Arial"/>
          <w:sz w:val="22"/>
          <w:szCs w:val="22"/>
        </w:rPr>
        <w:t xml:space="preserve">st and briefly describe the </w:t>
      </w:r>
      <w:r w:rsidRPr="001363DD">
        <w:rPr>
          <w:rFonts w:eastAsia="Arial"/>
          <w:sz w:val="22"/>
          <w:szCs w:val="22"/>
        </w:rPr>
        <w:t>project/expansion elements requested. Number and prioritize the elements, with the most important being #1. Include geographic area; specific populations; type of crime victim services; staffing level information; and total budget impact that includes major expenses.</w:t>
      </w:r>
      <w:r w:rsidR="00A8140A">
        <w:rPr>
          <w:rFonts w:eastAsia="Arial"/>
          <w:sz w:val="22"/>
          <w:szCs w:val="22"/>
        </w:rPr>
        <w:t xml:space="preserve"> </w:t>
      </w:r>
      <w:r w:rsidRPr="001363DD">
        <w:rPr>
          <w:rFonts w:eastAsia="Arial"/>
          <w:sz w:val="22"/>
          <w:szCs w:val="22"/>
        </w:rPr>
        <w:t>(Note: this information should agree with details presented in your budget narrative).</w:t>
      </w:r>
    </w:p>
    <w:p w14:paraId="3D15DF21" w14:textId="77777777" w:rsidR="00BC10B9" w:rsidRPr="001363DD" w:rsidRDefault="00343567" w:rsidP="006517C5">
      <w:pPr>
        <w:spacing w:after="60"/>
        <w:ind w:left="1440"/>
        <w:rPr>
          <w:rFonts w:eastAsia="Arial"/>
          <w:sz w:val="22"/>
          <w:szCs w:val="22"/>
        </w:rPr>
      </w:pPr>
      <w:r w:rsidRPr="001363DD">
        <w:rPr>
          <w:rFonts w:eastAsia="Arial"/>
          <w:i/>
          <w:sz w:val="22"/>
          <w:szCs w:val="22"/>
        </w:rPr>
        <w:t xml:space="preserve">Example: </w:t>
      </w:r>
    </w:p>
    <w:p w14:paraId="23AD44AB" w14:textId="441EDBEC" w:rsidR="003E0C53" w:rsidRPr="00AB728E" w:rsidRDefault="003E0C53" w:rsidP="003E0C53">
      <w:pPr>
        <w:pStyle w:val="ListParagraph"/>
        <w:numPr>
          <w:ilvl w:val="0"/>
          <w:numId w:val="21"/>
        </w:numPr>
        <w:ind w:left="1800"/>
        <w:rPr>
          <w:rFonts w:eastAsia="Arial"/>
          <w:sz w:val="22"/>
          <w:szCs w:val="22"/>
        </w:rPr>
      </w:pPr>
      <w:r w:rsidRPr="00AB728E">
        <w:rPr>
          <w:rFonts w:eastAsia="Arial"/>
          <w:sz w:val="22"/>
          <w:szCs w:val="22"/>
        </w:rPr>
        <w:t xml:space="preserve">Hire one new full-time </w:t>
      </w:r>
      <w:r w:rsidR="009973EE">
        <w:rPr>
          <w:rFonts w:eastAsia="Arial"/>
          <w:sz w:val="22"/>
          <w:szCs w:val="22"/>
        </w:rPr>
        <w:t>case manager</w:t>
      </w:r>
      <w:r w:rsidRPr="00AB728E">
        <w:rPr>
          <w:rFonts w:eastAsia="Arial"/>
          <w:sz w:val="22"/>
          <w:szCs w:val="22"/>
        </w:rPr>
        <w:t xml:space="preserve"> to serve ______ counties (salary &amp; fringe, computer/phone, mileage, training) = $85,000</w:t>
      </w:r>
    </w:p>
    <w:p w14:paraId="49301ADA" w14:textId="6C00BB0C" w:rsidR="003E0C53" w:rsidRPr="00AB728E" w:rsidRDefault="003E0C53" w:rsidP="003E0C53">
      <w:pPr>
        <w:pStyle w:val="ListParagraph"/>
        <w:numPr>
          <w:ilvl w:val="0"/>
          <w:numId w:val="21"/>
        </w:numPr>
        <w:spacing w:after="120"/>
        <w:ind w:left="1800"/>
        <w:contextualSpacing w:val="0"/>
        <w:rPr>
          <w:rFonts w:eastAsia="Arial"/>
          <w:sz w:val="22"/>
          <w:szCs w:val="22"/>
        </w:rPr>
      </w:pPr>
      <w:r w:rsidRPr="00AB728E">
        <w:rPr>
          <w:rFonts w:eastAsia="Arial"/>
          <w:sz w:val="22"/>
          <w:szCs w:val="22"/>
        </w:rPr>
        <w:t>Exp</w:t>
      </w:r>
      <w:r w:rsidR="00304C23">
        <w:rPr>
          <w:rFonts w:eastAsia="Arial"/>
          <w:sz w:val="22"/>
          <w:szCs w:val="22"/>
        </w:rPr>
        <w:t>and</w:t>
      </w:r>
      <w:r w:rsidRPr="00AB728E">
        <w:rPr>
          <w:rFonts w:eastAsia="Arial"/>
          <w:sz w:val="22"/>
          <w:szCs w:val="22"/>
        </w:rPr>
        <w:t xml:space="preserve"> services to include _______ county (.75 FTE advocate salary &amp; fringe, office rental, office supplies/furniture, computer/phone, mileage, training) = $75,000. </w:t>
      </w:r>
    </w:p>
    <w:p w14:paraId="7695E0D0" w14:textId="57EA0C2F" w:rsidR="002F0C9E" w:rsidRPr="00304C23" w:rsidRDefault="00343567" w:rsidP="00304C23">
      <w:pPr>
        <w:pStyle w:val="ListParagraph"/>
        <w:numPr>
          <w:ilvl w:val="0"/>
          <w:numId w:val="5"/>
        </w:numPr>
        <w:spacing w:line="276" w:lineRule="auto"/>
        <w:ind w:left="1080"/>
        <w:rPr>
          <w:rFonts w:eastAsia="Arial"/>
          <w:b/>
          <w:sz w:val="22"/>
          <w:szCs w:val="22"/>
        </w:rPr>
      </w:pPr>
      <w:r w:rsidRPr="00CD56DC">
        <w:rPr>
          <w:rFonts w:eastAsia="Arial"/>
          <w:b/>
          <w:sz w:val="22"/>
          <w:szCs w:val="22"/>
        </w:rPr>
        <w:t xml:space="preserve">Capacity: </w:t>
      </w:r>
      <w:r w:rsidRPr="00CD56DC">
        <w:rPr>
          <w:rFonts w:eastAsia="Arial"/>
          <w:sz w:val="22"/>
          <w:szCs w:val="22"/>
        </w:rPr>
        <w:t>Describe your organization</w:t>
      </w:r>
      <w:r w:rsidR="00A8140A">
        <w:rPr>
          <w:rFonts w:eastAsia="Arial"/>
          <w:sz w:val="22"/>
          <w:szCs w:val="22"/>
        </w:rPr>
        <w:t>’</w:t>
      </w:r>
      <w:r w:rsidRPr="00CD56DC">
        <w:rPr>
          <w:rFonts w:eastAsia="Arial"/>
          <w:sz w:val="22"/>
          <w:szCs w:val="22"/>
        </w:rPr>
        <w:t xml:space="preserve">s capacity </w:t>
      </w:r>
      <w:r w:rsidR="009973EE">
        <w:rPr>
          <w:rFonts w:eastAsia="Arial"/>
          <w:sz w:val="22"/>
          <w:szCs w:val="22"/>
        </w:rPr>
        <w:t xml:space="preserve">coordinate the HVIP initiative and </w:t>
      </w:r>
      <w:r w:rsidRPr="00CD56DC">
        <w:rPr>
          <w:rFonts w:eastAsia="Arial"/>
          <w:sz w:val="22"/>
          <w:szCs w:val="22"/>
        </w:rPr>
        <w:t>why your organization should receive funding.</w:t>
      </w:r>
      <w:bookmarkStart w:id="49" w:name="_2p2csry" w:colFirst="0" w:colLast="0"/>
      <w:bookmarkEnd w:id="49"/>
    </w:p>
    <w:p w14:paraId="5F9A3756" w14:textId="79F798A3" w:rsidR="003803FD" w:rsidRDefault="003803FD" w:rsidP="00426153">
      <w:pPr>
        <w:pStyle w:val="ListParagraph"/>
        <w:spacing w:line="276" w:lineRule="auto"/>
        <w:ind w:left="1080"/>
        <w:rPr>
          <w:rFonts w:eastAsia="Arial"/>
          <w:b/>
          <w:sz w:val="22"/>
          <w:szCs w:val="22"/>
        </w:rPr>
      </w:pPr>
    </w:p>
    <w:p w14:paraId="2AA7A93D" w14:textId="3EB1F25F" w:rsidR="00304C23" w:rsidRDefault="00304C23" w:rsidP="00426153">
      <w:pPr>
        <w:pStyle w:val="ListParagraph"/>
        <w:spacing w:line="276" w:lineRule="auto"/>
        <w:ind w:left="1080"/>
        <w:rPr>
          <w:rFonts w:eastAsia="Arial"/>
          <w:b/>
          <w:sz w:val="22"/>
          <w:szCs w:val="22"/>
        </w:rPr>
      </w:pPr>
    </w:p>
    <w:p w14:paraId="4BABF63C" w14:textId="6D656F17" w:rsidR="00304C23" w:rsidRDefault="00304C23" w:rsidP="00426153">
      <w:pPr>
        <w:pStyle w:val="ListParagraph"/>
        <w:spacing w:line="276" w:lineRule="auto"/>
        <w:ind w:left="1080"/>
        <w:rPr>
          <w:rFonts w:eastAsia="Arial"/>
          <w:b/>
          <w:sz w:val="22"/>
          <w:szCs w:val="22"/>
        </w:rPr>
      </w:pPr>
    </w:p>
    <w:p w14:paraId="6763C10F" w14:textId="77777777" w:rsidR="00304C23" w:rsidRPr="00CD56DC" w:rsidRDefault="00304C23" w:rsidP="00426153">
      <w:pPr>
        <w:pStyle w:val="ListParagraph"/>
        <w:spacing w:line="276" w:lineRule="auto"/>
        <w:ind w:left="1080"/>
        <w:rPr>
          <w:rFonts w:eastAsia="Arial"/>
          <w:b/>
          <w:sz w:val="22"/>
          <w:szCs w:val="22"/>
        </w:rPr>
      </w:pPr>
    </w:p>
    <w:p w14:paraId="1E54C9B2" w14:textId="77777777" w:rsidR="00575CBA" w:rsidRPr="001363DD" w:rsidRDefault="00343567" w:rsidP="00571DE4">
      <w:pPr>
        <w:pStyle w:val="ListParagraph"/>
        <w:numPr>
          <w:ilvl w:val="0"/>
          <w:numId w:val="32"/>
        </w:numPr>
        <w:pBdr>
          <w:top w:val="nil"/>
          <w:left w:val="nil"/>
          <w:bottom w:val="nil"/>
          <w:right w:val="nil"/>
          <w:between w:val="nil"/>
        </w:pBdr>
        <w:rPr>
          <w:rFonts w:eastAsia="Arial"/>
          <w:b/>
          <w:sz w:val="22"/>
          <w:szCs w:val="22"/>
        </w:rPr>
      </w:pPr>
      <w:r w:rsidRPr="001363DD">
        <w:rPr>
          <w:rFonts w:eastAsia="Arial"/>
          <w:b/>
          <w:sz w:val="22"/>
          <w:szCs w:val="22"/>
        </w:rPr>
        <w:lastRenderedPageBreak/>
        <w:t>Partnership</w:t>
      </w:r>
      <w:r w:rsidR="00036AC8" w:rsidRPr="001363DD">
        <w:rPr>
          <w:rFonts w:eastAsia="Arial"/>
          <w:b/>
          <w:sz w:val="22"/>
          <w:szCs w:val="22"/>
        </w:rPr>
        <w:t>s</w:t>
      </w:r>
      <w:r w:rsidRPr="001363DD">
        <w:rPr>
          <w:rFonts w:eastAsia="Arial"/>
          <w:b/>
          <w:sz w:val="22"/>
          <w:szCs w:val="22"/>
        </w:rPr>
        <w:t>, Collaboration, and Coordinat</w:t>
      </w:r>
      <w:r w:rsidR="00575CBA" w:rsidRPr="001363DD">
        <w:rPr>
          <w:rFonts w:eastAsia="Arial"/>
          <w:b/>
          <w:sz w:val="22"/>
          <w:szCs w:val="22"/>
        </w:rPr>
        <w:t>ion of and Linkages to Services</w:t>
      </w:r>
    </w:p>
    <w:p w14:paraId="35CA68F6" w14:textId="5F65A73A" w:rsidR="00BC10B9" w:rsidRPr="00CD56DC" w:rsidRDefault="00CD56DC" w:rsidP="006517C5">
      <w:pPr>
        <w:keepNext/>
        <w:keepLines/>
        <w:spacing w:after="60"/>
        <w:ind w:left="720"/>
        <w:rPr>
          <w:rFonts w:eastAsia="Arial"/>
          <w:sz w:val="22"/>
          <w:szCs w:val="22"/>
        </w:rPr>
      </w:pPr>
      <w:r>
        <w:rPr>
          <w:rFonts w:eastAsia="Arial"/>
          <w:sz w:val="22"/>
          <w:szCs w:val="22"/>
        </w:rPr>
        <w:t xml:space="preserve">(2 page </w:t>
      </w:r>
      <w:r w:rsidR="003803FD">
        <w:rPr>
          <w:rFonts w:eastAsia="Arial"/>
          <w:sz w:val="22"/>
          <w:szCs w:val="22"/>
        </w:rPr>
        <w:t>maximum</w:t>
      </w:r>
      <w:r w:rsidR="00343567" w:rsidRPr="00CD56DC">
        <w:rPr>
          <w:rFonts w:eastAsia="Arial"/>
          <w:sz w:val="22"/>
          <w:szCs w:val="22"/>
        </w:rPr>
        <w:t xml:space="preserve">) </w:t>
      </w:r>
    </w:p>
    <w:p w14:paraId="37054FA5" w14:textId="50D0AE25" w:rsidR="00BC10B9" w:rsidRDefault="00343567" w:rsidP="006517C5">
      <w:pPr>
        <w:numPr>
          <w:ilvl w:val="0"/>
          <w:numId w:val="7"/>
        </w:numPr>
        <w:spacing w:after="60" w:line="276" w:lineRule="auto"/>
        <w:ind w:left="1080"/>
        <w:rPr>
          <w:rFonts w:eastAsia="Arial"/>
          <w:sz w:val="22"/>
          <w:szCs w:val="22"/>
        </w:rPr>
      </w:pPr>
      <w:r w:rsidRPr="001363DD">
        <w:rPr>
          <w:rFonts w:eastAsia="Arial"/>
          <w:b/>
          <w:sz w:val="22"/>
          <w:szCs w:val="22"/>
        </w:rPr>
        <w:t>Partnerships</w:t>
      </w:r>
      <w:r w:rsidRPr="001363DD">
        <w:rPr>
          <w:rFonts w:eastAsia="Arial"/>
          <w:sz w:val="22"/>
          <w:szCs w:val="22"/>
        </w:rPr>
        <w:t>: Describe the agency</w:t>
      </w:r>
      <w:r w:rsidR="00A8140A">
        <w:rPr>
          <w:rFonts w:eastAsia="Arial"/>
          <w:sz w:val="22"/>
          <w:szCs w:val="22"/>
        </w:rPr>
        <w:t>’</w:t>
      </w:r>
      <w:r w:rsidRPr="001363DD">
        <w:rPr>
          <w:rFonts w:eastAsia="Arial"/>
          <w:sz w:val="22"/>
          <w:szCs w:val="22"/>
        </w:rPr>
        <w:t xml:space="preserve">s partnership and/or coalition building strategy and use of volunteers. </w:t>
      </w:r>
    </w:p>
    <w:p w14:paraId="2342C4EC" w14:textId="6E905714" w:rsidR="00575CBA" w:rsidRPr="003803FD" w:rsidRDefault="00343567" w:rsidP="004559D0">
      <w:pPr>
        <w:numPr>
          <w:ilvl w:val="0"/>
          <w:numId w:val="7"/>
        </w:numPr>
        <w:spacing w:after="60" w:line="276" w:lineRule="auto"/>
        <w:ind w:left="1080"/>
        <w:rPr>
          <w:rFonts w:eastAsia="Arial"/>
          <w:b/>
          <w:sz w:val="22"/>
          <w:szCs w:val="22"/>
        </w:rPr>
      </w:pPr>
      <w:r w:rsidRPr="003803FD">
        <w:rPr>
          <w:rFonts w:eastAsia="Arial"/>
          <w:b/>
          <w:sz w:val="22"/>
          <w:szCs w:val="22"/>
        </w:rPr>
        <w:t>Cooperative Agreements</w:t>
      </w:r>
      <w:r w:rsidR="00036AC8" w:rsidRPr="003803FD">
        <w:rPr>
          <w:rFonts w:eastAsia="Arial"/>
          <w:sz w:val="22"/>
          <w:szCs w:val="22"/>
        </w:rPr>
        <w:t>:</w:t>
      </w:r>
      <w:r w:rsidRPr="003803FD">
        <w:rPr>
          <w:rFonts w:eastAsia="Arial"/>
          <w:sz w:val="22"/>
          <w:szCs w:val="22"/>
        </w:rPr>
        <w:t xml:space="preserve"> Applications for projects which require coordination of services among two or more agencies must describe envisioned cooperative roles and responsibilities. Proposed or completed cooperative agreements must be attached. Cooperative agreements must define roles, responsibilities, referral mechanisms, collaboration, and coordination efforts necessary for successful implementation of the project and must be signed by all affiliating agencies. If cooperative agreements are not yet complete, describe the current status and completion plan.</w:t>
      </w:r>
      <w:bookmarkStart w:id="50" w:name="_147n2zr" w:colFirst="0" w:colLast="0"/>
      <w:bookmarkEnd w:id="50"/>
    </w:p>
    <w:p w14:paraId="01EC18C2" w14:textId="77777777" w:rsidR="003803FD" w:rsidRDefault="003803FD" w:rsidP="003803FD">
      <w:pPr>
        <w:pStyle w:val="ListParagraph"/>
        <w:pBdr>
          <w:top w:val="nil"/>
          <w:left w:val="nil"/>
          <w:bottom w:val="nil"/>
          <w:right w:val="nil"/>
          <w:between w:val="nil"/>
        </w:pBdr>
        <w:rPr>
          <w:rFonts w:eastAsia="Arial"/>
          <w:b/>
          <w:sz w:val="22"/>
          <w:szCs w:val="22"/>
        </w:rPr>
      </w:pPr>
    </w:p>
    <w:p w14:paraId="5389491B" w14:textId="4E21CE17" w:rsidR="00575CBA" w:rsidRPr="00CD56DC" w:rsidRDefault="00575CBA" w:rsidP="00CD56DC">
      <w:pPr>
        <w:pStyle w:val="ListParagraph"/>
        <w:numPr>
          <w:ilvl w:val="0"/>
          <w:numId w:val="32"/>
        </w:numPr>
        <w:pBdr>
          <w:top w:val="nil"/>
          <w:left w:val="nil"/>
          <w:bottom w:val="nil"/>
          <w:right w:val="nil"/>
          <w:between w:val="nil"/>
        </w:pBdr>
        <w:rPr>
          <w:rFonts w:eastAsia="Arial"/>
          <w:b/>
          <w:sz w:val="22"/>
          <w:szCs w:val="22"/>
        </w:rPr>
      </w:pPr>
      <w:r w:rsidRPr="00CD56DC">
        <w:rPr>
          <w:rFonts w:eastAsia="Arial"/>
          <w:b/>
          <w:sz w:val="22"/>
          <w:szCs w:val="22"/>
        </w:rPr>
        <w:t>Community Outreach</w:t>
      </w:r>
    </w:p>
    <w:p w14:paraId="74F01032" w14:textId="09840CB6" w:rsidR="00575CBA" w:rsidRPr="00613B6C" w:rsidRDefault="00304C23" w:rsidP="006517C5">
      <w:pPr>
        <w:pStyle w:val="ListParagraph"/>
        <w:keepNext/>
        <w:keepLines/>
        <w:spacing w:after="60"/>
        <w:contextualSpacing w:val="0"/>
        <w:rPr>
          <w:rFonts w:eastAsia="Arial"/>
        </w:rPr>
      </w:pPr>
      <w:r>
        <w:rPr>
          <w:rFonts w:eastAsia="Arial"/>
          <w:sz w:val="22"/>
          <w:szCs w:val="22"/>
        </w:rPr>
        <w:t>(1 page</w:t>
      </w:r>
      <w:r w:rsidR="00575CBA" w:rsidRPr="001363DD">
        <w:rPr>
          <w:rFonts w:eastAsia="Arial"/>
          <w:sz w:val="22"/>
          <w:szCs w:val="22"/>
        </w:rPr>
        <w:t xml:space="preserve"> maximum)</w:t>
      </w:r>
    </w:p>
    <w:p w14:paraId="38AA48F9" w14:textId="66D6AD90" w:rsidR="00BC10B9" w:rsidRDefault="00343567" w:rsidP="006517C5">
      <w:pPr>
        <w:numPr>
          <w:ilvl w:val="0"/>
          <w:numId w:val="8"/>
        </w:numPr>
        <w:spacing w:after="60" w:line="276" w:lineRule="auto"/>
        <w:ind w:left="1080"/>
        <w:rPr>
          <w:rFonts w:eastAsia="Arial"/>
          <w:sz w:val="22"/>
          <w:szCs w:val="22"/>
        </w:rPr>
      </w:pPr>
      <w:r w:rsidRPr="001363DD">
        <w:rPr>
          <w:rFonts w:eastAsia="Arial"/>
          <w:b/>
          <w:sz w:val="22"/>
          <w:szCs w:val="22"/>
        </w:rPr>
        <w:t>Awareness:</w:t>
      </w:r>
      <w:r w:rsidRPr="001363DD">
        <w:rPr>
          <w:rFonts w:eastAsia="Arial"/>
          <w:sz w:val="22"/>
          <w:szCs w:val="22"/>
        </w:rPr>
        <w:t xml:space="preserve"> Detail how you will create broad awareness of the availability of your services in your service area (i.e., promotional and public relations activities, community training, use of media, new collaborations, etc.).</w:t>
      </w:r>
    </w:p>
    <w:p w14:paraId="59BE926C" w14:textId="77777777" w:rsidR="00575CBA" w:rsidRPr="001363DD" w:rsidRDefault="00575CBA" w:rsidP="00EB415B">
      <w:pPr>
        <w:spacing w:line="276" w:lineRule="auto"/>
        <w:rPr>
          <w:rFonts w:eastAsia="Arial"/>
          <w:b/>
          <w:sz w:val="22"/>
          <w:szCs w:val="22"/>
        </w:rPr>
      </w:pPr>
      <w:bookmarkStart w:id="51" w:name="_3o7alnk" w:colFirst="0" w:colLast="0"/>
      <w:bookmarkEnd w:id="51"/>
    </w:p>
    <w:p w14:paraId="7F040EE0" w14:textId="77777777" w:rsidR="00575CBA" w:rsidRPr="001363DD" w:rsidRDefault="00575CBA" w:rsidP="00CD56DC">
      <w:pPr>
        <w:pStyle w:val="ListParagraph"/>
        <w:numPr>
          <w:ilvl w:val="0"/>
          <w:numId w:val="32"/>
        </w:numPr>
        <w:pBdr>
          <w:top w:val="nil"/>
          <w:left w:val="nil"/>
          <w:bottom w:val="nil"/>
          <w:right w:val="nil"/>
          <w:between w:val="nil"/>
        </w:pBdr>
        <w:rPr>
          <w:rFonts w:eastAsia="Arial"/>
          <w:b/>
          <w:sz w:val="22"/>
          <w:szCs w:val="22"/>
        </w:rPr>
      </w:pPr>
      <w:r w:rsidRPr="001363DD">
        <w:rPr>
          <w:rFonts w:eastAsia="Arial"/>
          <w:b/>
          <w:sz w:val="22"/>
          <w:szCs w:val="22"/>
        </w:rPr>
        <w:t>Project Management and Staff</w:t>
      </w:r>
    </w:p>
    <w:p w14:paraId="59BB98D1" w14:textId="77777777" w:rsidR="00BC10B9" w:rsidRDefault="0084367B" w:rsidP="006517C5">
      <w:pPr>
        <w:pStyle w:val="ListParagraph"/>
        <w:keepNext/>
        <w:keepLines/>
        <w:spacing w:after="60"/>
        <w:contextualSpacing w:val="0"/>
        <w:rPr>
          <w:rFonts w:eastAsia="Arial"/>
          <w:sz w:val="22"/>
          <w:szCs w:val="22"/>
        </w:rPr>
      </w:pPr>
      <w:r>
        <w:rPr>
          <w:rFonts w:eastAsia="Arial"/>
          <w:sz w:val="22"/>
          <w:szCs w:val="22"/>
        </w:rPr>
        <w:t>(1 page maximum + Attachments)</w:t>
      </w:r>
    </w:p>
    <w:p w14:paraId="13923D55" w14:textId="07B73735" w:rsidR="00BC10B9" w:rsidRDefault="00343567" w:rsidP="006517C5">
      <w:pPr>
        <w:numPr>
          <w:ilvl w:val="0"/>
          <w:numId w:val="16"/>
        </w:numPr>
        <w:spacing w:after="60" w:line="276" w:lineRule="auto"/>
        <w:ind w:left="1080"/>
        <w:rPr>
          <w:rFonts w:eastAsia="Arial"/>
          <w:sz w:val="22"/>
          <w:szCs w:val="22"/>
        </w:rPr>
      </w:pPr>
      <w:r w:rsidRPr="0084367B">
        <w:rPr>
          <w:rFonts w:eastAsia="Arial"/>
          <w:b/>
          <w:sz w:val="22"/>
          <w:szCs w:val="22"/>
        </w:rPr>
        <w:t>Staff</w:t>
      </w:r>
      <w:r w:rsidRPr="0084367B">
        <w:rPr>
          <w:rFonts w:eastAsia="Arial"/>
          <w:sz w:val="22"/>
          <w:szCs w:val="22"/>
        </w:rPr>
        <w:t xml:space="preserve">: Identify all project management and staff. Describe how personnel are uniquely qualified to manage and implement the proposed project. </w:t>
      </w:r>
      <w:r w:rsidR="002E038D" w:rsidRPr="006746BE">
        <w:rPr>
          <w:rFonts w:eastAsia="Arial"/>
          <w:b/>
          <w:sz w:val="22"/>
          <w:szCs w:val="22"/>
        </w:rPr>
        <w:t>Attach</w:t>
      </w:r>
      <w:r w:rsidR="002E038D" w:rsidRPr="006746BE">
        <w:rPr>
          <w:rFonts w:eastAsia="Arial"/>
          <w:sz w:val="22"/>
          <w:szCs w:val="22"/>
        </w:rPr>
        <w:t xml:space="preserve"> an organizational chart</w:t>
      </w:r>
      <w:r w:rsidR="002E038D" w:rsidRPr="0084367B">
        <w:rPr>
          <w:rFonts w:eastAsia="Arial"/>
          <w:sz w:val="22"/>
          <w:szCs w:val="22"/>
        </w:rPr>
        <w:t xml:space="preserve"> that includes all grant-funded staff positions.</w:t>
      </w:r>
    </w:p>
    <w:p w14:paraId="6C478F3D" w14:textId="77777777" w:rsidR="00575CBA" w:rsidRPr="001363DD" w:rsidRDefault="00343567" w:rsidP="00571DE4">
      <w:pPr>
        <w:numPr>
          <w:ilvl w:val="0"/>
          <w:numId w:val="16"/>
        </w:numPr>
        <w:spacing w:line="276" w:lineRule="auto"/>
        <w:ind w:left="1080"/>
        <w:rPr>
          <w:rFonts w:eastAsia="Arial"/>
          <w:sz w:val="22"/>
          <w:szCs w:val="22"/>
        </w:rPr>
      </w:pPr>
      <w:r w:rsidRPr="001363DD">
        <w:rPr>
          <w:rFonts w:eastAsia="Arial"/>
          <w:b/>
          <w:sz w:val="22"/>
          <w:szCs w:val="22"/>
        </w:rPr>
        <w:t xml:space="preserve">Job Descriptions: </w:t>
      </w:r>
      <w:r w:rsidRPr="0041788C">
        <w:rPr>
          <w:rFonts w:eastAsia="Arial"/>
          <w:b/>
          <w:sz w:val="22"/>
          <w:szCs w:val="22"/>
        </w:rPr>
        <w:t>Attach</w:t>
      </w:r>
      <w:r w:rsidRPr="001363DD">
        <w:rPr>
          <w:rFonts w:eastAsia="Arial"/>
          <w:sz w:val="22"/>
          <w:szCs w:val="22"/>
        </w:rPr>
        <w:t xml:space="preserve"> summary job descriptions for each position for which grant or matching funds are requested; indicate the number of hours and percentage of time devoted to the proposed project.</w:t>
      </w:r>
      <w:bookmarkStart w:id="52" w:name="_23ckvvd" w:colFirst="0" w:colLast="0"/>
      <w:bookmarkEnd w:id="52"/>
    </w:p>
    <w:p w14:paraId="104EFB31" w14:textId="77777777" w:rsidR="00575CBA" w:rsidRPr="001363DD" w:rsidRDefault="00575CBA" w:rsidP="00EB415B">
      <w:pPr>
        <w:pStyle w:val="ListParagraph"/>
        <w:rPr>
          <w:rFonts w:eastAsia="Arial"/>
          <w:b/>
          <w:sz w:val="22"/>
          <w:szCs w:val="22"/>
        </w:rPr>
      </w:pPr>
    </w:p>
    <w:p w14:paraId="41074D29" w14:textId="77777777" w:rsidR="00575CBA" w:rsidRPr="001363DD" w:rsidRDefault="00343567" w:rsidP="00CD56DC">
      <w:pPr>
        <w:pStyle w:val="ListParagraph"/>
        <w:numPr>
          <w:ilvl w:val="0"/>
          <w:numId w:val="32"/>
        </w:numPr>
        <w:pBdr>
          <w:top w:val="nil"/>
          <w:left w:val="nil"/>
          <w:bottom w:val="nil"/>
          <w:right w:val="nil"/>
          <w:between w:val="nil"/>
        </w:pBdr>
        <w:rPr>
          <w:rFonts w:eastAsia="Arial"/>
          <w:b/>
          <w:sz w:val="22"/>
          <w:szCs w:val="22"/>
        </w:rPr>
      </w:pPr>
      <w:r w:rsidRPr="001363DD">
        <w:rPr>
          <w:rFonts w:eastAsia="Arial"/>
          <w:b/>
          <w:sz w:val="22"/>
          <w:szCs w:val="22"/>
        </w:rPr>
        <w:t>Perfor</w:t>
      </w:r>
      <w:r w:rsidR="00575CBA" w:rsidRPr="001363DD">
        <w:rPr>
          <w:rFonts w:eastAsia="Arial"/>
          <w:b/>
          <w:sz w:val="22"/>
          <w:szCs w:val="22"/>
        </w:rPr>
        <w:t>mance Measures and Evaluation</w:t>
      </w:r>
    </w:p>
    <w:p w14:paraId="5027E6E0" w14:textId="77777777" w:rsidR="00BC10B9" w:rsidRDefault="00343567" w:rsidP="006517C5">
      <w:pPr>
        <w:pStyle w:val="ListParagraph"/>
        <w:keepNext/>
        <w:keepLines/>
        <w:spacing w:after="60"/>
        <w:contextualSpacing w:val="0"/>
        <w:rPr>
          <w:rFonts w:eastAsia="Arial"/>
          <w:sz w:val="22"/>
          <w:szCs w:val="22"/>
        </w:rPr>
      </w:pPr>
      <w:r w:rsidRPr="001363DD">
        <w:rPr>
          <w:rFonts w:eastAsia="Arial"/>
          <w:sz w:val="22"/>
          <w:szCs w:val="22"/>
        </w:rPr>
        <w:t xml:space="preserve">(1 page maximum) </w:t>
      </w:r>
    </w:p>
    <w:p w14:paraId="3A6174A6" w14:textId="33615FC3" w:rsidR="00BC10B9" w:rsidRDefault="00343567" w:rsidP="006517C5">
      <w:pPr>
        <w:numPr>
          <w:ilvl w:val="0"/>
          <w:numId w:val="17"/>
        </w:numPr>
        <w:spacing w:after="60" w:line="276" w:lineRule="auto"/>
        <w:ind w:left="1080"/>
        <w:rPr>
          <w:rFonts w:eastAsia="Arial"/>
          <w:sz w:val="22"/>
          <w:szCs w:val="22"/>
        </w:rPr>
      </w:pPr>
      <w:r w:rsidRPr="001363DD">
        <w:rPr>
          <w:rFonts w:eastAsia="Arial"/>
          <w:b/>
          <w:sz w:val="22"/>
          <w:szCs w:val="22"/>
        </w:rPr>
        <w:t xml:space="preserve">Process: </w:t>
      </w:r>
      <w:r w:rsidRPr="001363DD">
        <w:rPr>
          <w:rFonts w:eastAsia="Arial"/>
          <w:sz w:val="22"/>
          <w:szCs w:val="22"/>
        </w:rPr>
        <w:t xml:space="preserve">Describe your evaluation process. </w:t>
      </w:r>
    </w:p>
    <w:p w14:paraId="47C4E928" w14:textId="774C8169" w:rsidR="00BC10B9" w:rsidRDefault="00343567" w:rsidP="006517C5">
      <w:pPr>
        <w:numPr>
          <w:ilvl w:val="0"/>
          <w:numId w:val="17"/>
        </w:numPr>
        <w:spacing w:after="60" w:line="276" w:lineRule="auto"/>
        <w:ind w:left="1080"/>
        <w:rPr>
          <w:rFonts w:eastAsia="Arial"/>
          <w:sz w:val="22"/>
          <w:szCs w:val="22"/>
        </w:rPr>
      </w:pPr>
      <w:r w:rsidRPr="001363DD">
        <w:rPr>
          <w:rFonts w:eastAsia="Arial"/>
          <w:b/>
          <w:sz w:val="22"/>
          <w:szCs w:val="22"/>
        </w:rPr>
        <w:t>Tools</w:t>
      </w:r>
      <w:r w:rsidRPr="001363DD">
        <w:rPr>
          <w:rFonts w:eastAsia="Arial"/>
          <w:sz w:val="22"/>
          <w:szCs w:val="22"/>
        </w:rPr>
        <w:t xml:space="preserve">: Describe the evaluation tools you will use to gather feedback from those you will serve. </w:t>
      </w:r>
    </w:p>
    <w:p w14:paraId="6831901A" w14:textId="305FD1D9" w:rsidR="00BC10B9" w:rsidRDefault="00343567" w:rsidP="006517C5">
      <w:pPr>
        <w:numPr>
          <w:ilvl w:val="0"/>
          <w:numId w:val="17"/>
        </w:numPr>
        <w:spacing w:after="60" w:line="276" w:lineRule="auto"/>
        <w:ind w:left="1080"/>
        <w:rPr>
          <w:rFonts w:eastAsia="Arial"/>
          <w:sz w:val="22"/>
          <w:szCs w:val="22"/>
        </w:rPr>
      </w:pPr>
      <w:r w:rsidRPr="0084367B">
        <w:rPr>
          <w:rFonts w:eastAsia="Arial"/>
          <w:b/>
          <w:sz w:val="22"/>
          <w:szCs w:val="22"/>
        </w:rPr>
        <w:t>Barriers</w:t>
      </w:r>
      <w:r w:rsidRPr="0084367B">
        <w:rPr>
          <w:rFonts w:eastAsia="Arial"/>
          <w:sz w:val="22"/>
          <w:szCs w:val="22"/>
        </w:rPr>
        <w:t xml:space="preserve">: Describe any barriers you anticipate to conducting effective evaluation. </w:t>
      </w:r>
    </w:p>
    <w:p w14:paraId="507216DA" w14:textId="77777777" w:rsidR="00BC10B9" w:rsidRPr="0084367B" w:rsidRDefault="00343567" w:rsidP="00571DE4">
      <w:pPr>
        <w:numPr>
          <w:ilvl w:val="0"/>
          <w:numId w:val="17"/>
        </w:numPr>
        <w:spacing w:line="276" w:lineRule="auto"/>
        <w:ind w:left="1080"/>
        <w:rPr>
          <w:rFonts w:eastAsia="Arial"/>
          <w:sz w:val="22"/>
          <w:szCs w:val="22"/>
        </w:rPr>
      </w:pPr>
      <w:r w:rsidRPr="0084367B">
        <w:rPr>
          <w:rFonts w:eastAsia="Arial"/>
          <w:b/>
          <w:sz w:val="22"/>
          <w:szCs w:val="22"/>
        </w:rPr>
        <w:t>Using Feedback</w:t>
      </w:r>
      <w:r w:rsidRPr="0084367B">
        <w:rPr>
          <w:rFonts w:eastAsia="Arial"/>
          <w:sz w:val="22"/>
          <w:szCs w:val="22"/>
        </w:rPr>
        <w:t xml:space="preserve">: If applicable, provide any relevant findings from recent past evaluation efforts (i.e., how you know your program is having an impact). Describe your process for using feedback to improve your program and services. </w:t>
      </w:r>
    </w:p>
    <w:p w14:paraId="43E38821" w14:textId="77777777" w:rsidR="00BC10B9" w:rsidRPr="001363DD" w:rsidRDefault="00BC10B9" w:rsidP="0084367B">
      <w:pPr>
        <w:keepNext/>
        <w:keepLines/>
        <w:ind w:left="360"/>
        <w:rPr>
          <w:rFonts w:eastAsia="Arial"/>
          <w:sz w:val="22"/>
          <w:szCs w:val="22"/>
        </w:rPr>
      </w:pPr>
    </w:p>
    <w:p w14:paraId="569F3481" w14:textId="14C49751" w:rsidR="00BC10B9" w:rsidRPr="001363DD" w:rsidRDefault="00BC10B9" w:rsidP="00CD56DC">
      <w:pPr>
        <w:rPr>
          <w:rFonts w:eastAsia="Arial"/>
          <w:color w:val="000000"/>
          <w:sz w:val="22"/>
          <w:szCs w:val="22"/>
        </w:rPr>
      </w:pPr>
      <w:bookmarkStart w:id="53" w:name="_ihv636" w:colFirst="0" w:colLast="0"/>
      <w:bookmarkStart w:id="54" w:name="_4k668n3" w:colFirst="0" w:colLast="0"/>
      <w:bookmarkEnd w:id="53"/>
      <w:bookmarkEnd w:id="54"/>
    </w:p>
    <w:p w14:paraId="6FA09CB7" w14:textId="77777777" w:rsidR="003803FD" w:rsidRDefault="003803FD">
      <w:pPr>
        <w:rPr>
          <w:rFonts w:eastAsia="Arial"/>
          <w:b/>
          <w:sz w:val="22"/>
          <w:szCs w:val="22"/>
        </w:rPr>
      </w:pPr>
      <w:r>
        <w:rPr>
          <w:rFonts w:eastAsia="Arial"/>
          <w:b/>
          <w:sz w:val="22"/>
          <w:szCs w:val="22"/>
        </w:rPr>
        <w:br w:type="page"/>
      </w:r>
    </w:p>
    <w:p w14:paraId="206CFE29" w14:textId="77777777" w:rsidR="003803FD" w:rsidRDefault="003803FD" w:rsidP="006517C5">
      <w:pPr>
        <w:spacing w:after="60"/>
        <w:rPr>
          <w:rFonts w:eastAsia="Arial"/>
          <w:b/>
          <w:sz w:val="22"/>
          <w:szCs w:val="22"/>
        </w:rPr>
      </w:pPr>
    </w:p>
    <w:p w14:paraId="34AE2091" w14:textId="3E641456" w:rsidR="0084367B" w:rsidRPr="006517C5" w:rsidRDefault="0084367B" w:rsidP="006517C5">
      <w:pPr>
        <w:spacing w:after="60"/>
        <w:rPr>
          <w:rFonts w:eastAsia="Arial"/>
          <w:b/>
          <w:sz w:val="22"/>
          <w:szCs w:val="22"/>
        </w:rPr>
      </w:pPr>
      <w:r w:rsidRPr="006517C5">
        <w:rPr>
          <w:rFonts w:eastAsia="Arial"/>
          <w:b/>
          <w:sz w:val="22"/>
          <w:szCs w:val="22"/>
        </w:rPr>
        <w:t>Required Forms and Attachments</w:t>
      </w:r>
    </w:p>
    <w:p w14:paraId="06B3A2EB" w14:textId="1A002BEF" w:rsidR="00C45857" w:rsidRPr="003803FD" w:rsidRDefault="00C45857" w:rsidP="006517C5">
      <w:pPr>
        <w:spacing w:after="60"/>
        <w:ind w:left="360"/>
        <w:rPr>
          <w:rFonts w:eastAsia="Arial"/>
          <w:sz w:val="22"/>
          <w:szCs w:val="22"/>
        </w:rPr>
      </w:pPr>
      <w:r w:rsidRPr="00C45857">
        <w:rPr>
          <w:rFonts w:eastAsia="Arial"/>
          <w:sz w:val="22"/>
          <w:szCs w:val="22"/>
        </w:rPr>
        <w:t>Attachment 1</w:t>
      </w:r>
      <w:r w:rsidRPr="00C45857">
        <w:rPr>
          <w:rFonts w:eastAsia="Arial"/>
          <w:sz w:val="22"/>
          <w:szCs w:val="22"/>
        </w:rPr>
        <w:tab/>
      </w:r>
      <w:r w:rsidRPr="003803FD">
        <w:rPr>
          <w:rStyle w:val="Hyperlink"/>
          <w:rFonts w:eastAsia="Arial"/>
          <w:color w:val="auto"/>
          <w:sz w:val="22"/>
          <w:szCs w:val="22"/>
          <w:u w:val="none"/>
        </w:rPr>
        <w:t>Excel Budget Workbook</w:t>
      </w:r>
    </w:p>
    <w:p w14:paraId="347DCF56" w14:textId="2A75A6CC" w:rsidR="00C45857" w:rsidRPr="003803FD" w:rsidRDefault="00C45857" w:rsidP="006517C5">
      <w:pPr>
        <w:spacing w:after="60"/>
        <w:ind w:left="360"/>
        <w:rPr>
          <w:rStyle w:val="Hyperlink"/>
          <w:rFonts w:eastAsia="Arial"/>
          <w:color w:val="auto"/>
          <w:u w:val="none"/>
        </w:rPr>
      </w:pPr>
      <w:r w:rsidRPr="00C45857">
        <w:rPr>
          <w:rFonts w:eastAsia="Arial"/>
          <w:sz w:val="22"/>
          <w:szCs w:val="22"/>
        </w:rPr>
        <w:t>Attachment 2</w:t>
      </w:r>
      <w:r w:rsidRPr="00C45857">
        <w:rPr>
          <w:rFonts w:eastAsia="Arial"/>
          <w:sz w:val="22"/>
          <w:szCs w:val="22"/>
        </w:rPr>
        <w:tab/>
      </w:r>
      <w:r w:rsidRPr="003803FD">
        <w:rPr>
          <w:rStyle w:val="Hyperlink"/>
          <w:rFonts w:eastAsia="Arial"/>
          <w:color w:val="auto"/>
          <w:sz w:val="22"/>
          <w:szCs w:val="22"/>
          <w:u w:val="none"/>
        </w:rPr>
        <w:t>Budget Narrative Template</w:t>
      </w:r>
    </w:p>
    <w:p w14:paraId="505138F2" w14:textId="673297B2" w:rsidR="00C45857" w:rsidRPr="003803FD" w:rsidRDefault="00C45857" w:rsidP="006517C5">
      <w:pPr>
        <w:spacing w:after="60"/>
        <w:ind w:left="360"/>
        <w:rPr>
          <w:rStyle w:val="Hyperlink"/>
          <w:rFonts w:eastAsia="Arial"/>
          <w:color w:val="auto"/>
          <w:u w:val="none"/>
        </w:rPr>
      </w:pPr>
      <w:r w:rsidRPr="003803FD">
        <w:rPr>
          <w:rFonts w:eastAsia="Arial"/>
          <w:sz w:val="22"/>
          <w:szCs w:val="22"/>
        </w:rPr>
        <w:t xml:space="preserve">Attachment </w:t>
      </w:r>
      <w:r w:rsidR="00846A23" w:rsidRPr="003803FD">
        <w:rPr>
          <w:rFonts w:eastAsia="Arial"/>
          <w:sz w:val="22"/>
          <w:szCs w:val="22"/>
        </w:rPr>
        <w:t>3</w:t>
      </w:r>
      <w:r w:rsidRPr="003803FD">
        <w:rPr>
          <w:rFonts w:eastAsia="Arial"/>
          <w:sz w:val="22"/>
          <w:szCs w:val="22"/>
        </w:rPr>
        <w:tab/>
      </w:r>
      <w:r w:rsidRPr="003803FD">
        <w:rPr>
          <w:rStyle w:val="Hyperlink"/>
          <w:rFonts w:eastAsia="Arial"/>
          <w:color w:val="auto"/>
          <w:sz w:val="22"/>
          <w:szCs w:val="22"/>
          <w:u w:val="none"/>
        </w:rPr>
        <w:t>General Grant Conditions and Assurances</w:t>
      </w:r>
    </w:p>
    <w:p w14:paraId="5702783A" w14:textId="5AA41B67" w:rsidR="00C45857" w:rsidRPr="003803FD" w:rsidRDefault="00C45857" w:rsidP="006517C5">
      <w:pPr>
        <w:spacing w:after="60"/>
        <w:ind w:left="360"/>
        <w:rPr>
          <w:rStyle w:val="Hyperlink"/>
          <w:rFonts w:eastAsia="Arial"/>
          <w:color w:val="auto"/>
          <w:u w:val="none"/>
        </w:rPr>
      </w:pPr>
      <w:r w:rsidRPr="003803FD">
        <w:rPr>
          <w:rFonts w:eastAsia="Arial"/>
          <w:sz w:val="22"/>
          <w:szCs w:val="22"/>
        </w:rPr>
        <w:t xml:space="preserve">Attachment </w:t>
      </w:r>
      <w:r w:rsidR="00846A23" w:rsidRPr="003803FD">
        <w:rPr>
          <w:rFonts w:eastAsia="Arial"/>
          <w:sz w:val="22"/>
          <w:szCs w:val="22"/>
        </w:rPr>
        <w:t>4</w:t>
      </w:r>
      <w:r w:rsidRPr="003803FD">
        <w:rPr>
          <w:rFonts w:eastAsia="Arial"/>
          <w:sz w:val="22"/>
          <w:szCs w:val="22"/>
        </w:rPr>
        <w:tab/>
      </w:r>
      <w:r w:rsidRPr="003803FD">
        <w:rPr>
          <w:rStyle w:val="Hyperlink"/>
          <w:rFonts w:eastAsia="Arial"/>
          <w:color w:val="auto"/>
          <w:sz w:val="22"/>
          <w:szCs w:val="22"/>
          <w:u w:val="none"/>
        </w:rPr>
        <w:t>Certifications &amp; Requirements Form</w:t>
      </w:r>
    </w:p>
    <w:p w14:paraId="14CB1A85" w14:textId="2C092970" w:rsidR="00C45857" w:rsidRPr="003803FD" w:rsidRDefault="00C45857" w:rsidP="006517C5">
      <w:pPr>
        <w:ind w:left="360"/>
        <w:rPr>
          <w:rFonts w:eastAsia="Arial"/>
          <w:sz w:val="22"/>
          <w:szCs w:val="22"/>
        </w:rPr>
      </w:pPr>
      <w:r w:rsidRPr="00C45857">
        <w:rPr>
          <w:rFonts w:eastAsia="Arial"/>
          <w:sz w:val="22"/>
          <w:szCs w:val="22"/>
        </w:rPr>
        <w:t>Attachment</w:t>
      </w:r>
      <w:r>
        <w:rPr>
          <w:rFonts w:eastAsia="Arial"/>
          <w:sz w:val="22"/>
          <w:szCs w:val="22"/>
        </w:rPr>
        <w:t xml:space="preserve"> </w:t>
      </w:r>
      <w:r w:rsidR="00846A23">
        <w:rPr>
          <w:rFonts w:eastAsia="Arial"/>
          <w:sz w:val="22"/>
          <w:szCs w:val="22"/>
        </w:rPr>
        <w:t>5</w:t>
      </w:r>
      <w:r>
        <w:rPr>
          <w:rFonts w:eastAsia="Arial"/>
          <w:sz w:val="22"/>
          <w:szCs w:val="22"/>
        </w:rPr>
        <w:tab/>
      </w:r>
      <w:r w:rsidRPr="003803FD">
        <w:rPr>
          <w:rFonts w:eastAsia="Arial"/>
          <w:sz w:val="22"/>
          <w:szCs w:val="22"/>
        </w:rPr>
        <w:t>Certification of Compliance with Regulations (Civil Rights)</w:t>
      </w:r>
    </w:p>
    <w:p w14:paraId="0198D9FC" w14:textId="25759CB2" w:rsidR="006517C5" w:rsidRDefault="006517C5" w:rsidP="006517C5">
      <w:pPr>
        <w:ind w:left="360"/>
        <w:rPr>
          <w:rFonts w:eastAsia="Arial"/>
          <w:b/>
          <w:sz w:val="22"/>
          <w:szCs w:val="22"/>
        </w:rPr>
      </w:pPr>
    </w:p>
    <w:p w14:paraId="3212DB71" w14:textId="462481EA" w:rsidR="00C45857" w:rsidRPr="006517C5" w:rsidRDefault="00C45857" w:rsidP="006517C5">
      <w:pPr>
        <w:spacing w:after="60"/>
        <w:ind w:left="360"/>
        <w:rPr>
          <w:rFonts w:eastAsia="Arial"/>
          <w:b/>
          <w:i/>
          <w:sz w:val="22"/>
          <w:szCs w:val="22"/>
        </w:rPr>
      </w:pPr>
      <w:r w:rsidRPr="006517C5">
        <w:rPr>
          <w:rFonts w:eastAsia="Arial"/>
          <w:b/>
          <w:sz w:val="22"/>
          <w:szCs w:val="22"/>
        </w:rPr>
        <w:t xml:space="preserve">To be completed and submitted </w:t>
      </w:r>
      <w:r w:rsidR="00613B6C" w:rsidRPr="006517C5">
        <w:rPr>
          <w:rFonts w:eastAsia="Arial"/>
          <w:b/>
          <w:i/>
          <w:sz w:val="22"/>
          <w:szCs w:val="22"/>
        </w:rPr>
        <w:t>if applicable:</w:t>
      </w:r>
    </w:p>
    <w:p w14:paraId="18795498" w14:textId="1C8FAEC0" w:rsidR="00C45857" w:rsidRPr="003803FD" w:rsidRDefault="00C45857" w:rsidP="006517C5">
      <w:pPr>
        <w:spacing w:after="60"/>
        <w:ind w:left="360"/>
        <w:rPr>
          <w:rStyle w:val="Hyperlink"/>
          <w:rFonts w:eastAsia="Arial"/>
          <w:color w:val="auto"/>
          <w:u w:val="none"/>
        </w:rPr>
      </w:pPr>
      <w:r w:rsidRPr="00C45857">
        <w:rPr>
          <w:rFonts w:eastAsia="Arial"/>
          <w:sz w:val="22"/>
          <w:szCs w:val="22"/>
        </w:rPr>
        <w:t xml:space="preserve">Attachment </w:t>
      </w:r>
      <w:r w:rsidR="00846A23">
        <w:rPr>
          <w:rFonts w:eastAsia="Arial"/>
          <w:sz w:val="22"/>
          <w:szCs w:val="22"/>
        </w:rPr>
        <w:t>6</w:t>
      </w:r>
      <w:r w:rsidRPr="00C45857">
        <w:rPr>
          <w:rFonts w:eastAsia="Arial"/>
          <w:sz w:val="22"/>
          <w:szCs w:val="22"/>
        </w:rPr>
        <w:tab/>
      </w:r>
      <w:r w:rsidRPr="003803FD">
        <w:rPr>
          <w:rStyle w:val="Hyperlink"/>
          <w:rFonts w:eastAsia="Arial"/>
          <w:color w:val="auto"/>
          <w:sz w:val="22"/>
          <w:szCs w:val="22"/>
          <w:u w:val="none"/>
        </w:rPr>
        <w:t>MTDC Worksheet</w:t>
      </w:r>
    </w:p>
    <w:p w14:paraId="01AF1D32" w14:textId="0E0E2ABB" w:rsidR="00C45857" w:rsidRPr="003803FD" w:rsidRDefault="00C45857" w:rsidP="006517C5">
      <w:pPr>
        <w:spacing w:after="60"/>
        <w:ind w:left="360"/>
        <w:rPr>
          <w:rStyle w:val="Hyperlink"/>
          <w:rFonts w:eastAsia="Arial"/>
          <w:color w:val="auto"/>
          <w:u w:val="none"/>
        </w:rPr>
      </w:pPr>
      <w:r w:rsidRPr="003803FD">
        <w:rPr>
          <w:rFonts w:eastAsia="Arial"/>
          <w:sz w:val="22"/>
          <w:szCs w:val="22"/>
        </w:rPr>
        <w:t xml:space="preserve">Attachment </w:t>
      </w:r>
      <w:r w:rsidR="00846A23" w:rsidRPr="003803FD">
        <w:rPr>
          <w:rFonts w:eastAsia="Arial"/>
          <w:sz w:val="22"/>
          <w:szCs w:val="22"/>
        </w:rPr>
        <w:t>7</w:t>
      </w:r>
      <w:r w:rsidRPr="003803FD">
        <w:rPr>
          <w:rStyle w:val="Hyperlink"/>
          <w:rFonts w:eastAsia="Arial"/>
          <w:color w:val="auto"/>
          <w:u w:val="none"/>
        </w:rPr>
        <w:tab/>
      </w:r>
      <w:r w:rsidRPr="003803FD">
        <w:rPr>
          <w:rStyle w:val="Hyperlink"/>
          <w:rFonts w:eastAsia="Arial"/>
          <w:color w:val="auto"/>
          <w:sz w:val="22"/>
          <w:szCs w:val="22"/>
          <w:u w:val="none"/>
        </w:rPr>
        <w:t>Certification of De Minimis Indirect Cost Rate Form</w:t>
      </w:r>
    </w:p>
    <w:p w14:paraId="35FFAFB4" w14:textId="35302C99" w:rsidR="00C45857" w:rsidRPr="003803FD" w:rsidRDefault="00C45857" w:rsidP="006517C5">
      <w:pPr>
        <w:spacing w:after="60"/>
        <w:ind w:left="360"/>
        <w:rPr>
          <w:rStyle w:val="Hyperlink"/>
          <w:rFonts w:eastAsia="Arial"/>
          <w:color w:val="auto"/>
          <w:u w:val="none"/>
        </w:rPr>
      </w:pPr>
      <w:r w:rsidRPr="003803FD">
        <w:rPr>
          <w:rFonts w:eastAsia="Arial"/>
          <w:sz w:val="22"/>
          <w:szCs w:val="22"/>
        </w:rPr>
        <w:t xml:space="preserve">Attachment </w:t>
      </w:r>
      <w:r w:rsidR="00846A23" w:rsidRPr="003803FD">
        <w:rPr>
          <w:rFonts w:eastAsia="Arial"/>
          <w:sz w:val="22"/>
          <w:szCs w:val="22"/>
        </w:rPr>
        <w:t>8</w:t>
      </w:r>
      <w:r w:rsidRPr="003803FD">
        <w:rPr>
          <w:rFonts w:eastAsia="Arial"/>
          <w:sz w:val="22"/>
          <w:szCs w:val="22"/>
        </w:rPr>
        <w:tab/>
      </w:r>
      <w:r w:rsidRPr="003803FD">
        <w:rPr>
          <w:rStyle w:val="Hyperlink"/>
          <w:rFonts w:eastAsia="Arial"/>
          <w:color w:val="auto"/>
          <w:sz w:val="22"/>
          <w:szCs w:val="22"/>
          <w:u w:val="none"/>
        </w:rPr>
        <w:t>Grant Checklist for Vehicle Purchase and Use</w:t>
      </w:r>
    </w:p>
    <w:p w14:paraId="2D044A23" w14:textId="60691ACD" w:rsidR="00C45857" w:rsidRPr="003803FD" w:rsidRDefault="00C45857" w:rsidP="003803FD">
      <w:pPr>
        <w:spacing w:after="60"/>
        <w:ind w:left="360"/>
        <w:rPr>
          <w:rStyle w:val="Hyperlink"/>
          <w:rFonts w:eastAsia="Arial"/>
          <w:color w:val="auto"/>
          <w:u w:val="none"/>
        </w:rPr>
      </w:pPr>
      <w:r w:rsidRPr="003803FD">
        <w:rPr>
          <w:rFonts w:eastAsia="Arial"/>
          <w:sz w:val="22"/>
          <w:szCs w:val="22"/>
        </w:rPr>
        <w:t xml:space="preserve">Attachment </w:t>
      </w:r>
      <w:r w:rsidR="00846A23" w:rsidRPr="003803FD">
        <w:rPr>
          <w:rFonts w:eastAsia="Arial"/>
          <w:sz w:val="22"/>
          <w:szCs w:val="22"/>
        </w:rPr>
        <w:t>9</w:t>
      </w:r>
      <w:r w:rsidRPr="003803FD">
        <w:rPr>
          <w:rFonts w:eastAsia="Arial"/>
          <w:sz w:val="22"/>
          <w:szCs w:val="22"/>
        </w:rPr>
        <w:tab/>
      </w:r>
      <w:r w:rsidRPr="003803FD">
        <w:rPr>
          <w:rStyle w:val="Hyperlink"/>
          <w:rFonts w:eastAsia="Arial"/>
          <w:color w:val="auto"/>
          <w:sz w:val="22"/>
          <w:szCs w:val="22"/>
          <w:u w:val="none"/>
        </w:rPr>
        <w:t>VOCA Initial Readiness Assessment</w:t>
      </w:r>
    </w:p>
    <w:p w14:paraId="5514BB7F" w14:textId="77777777" w:rsidR="00C45857" w:rsidRDefault="00C45857" w:rsidP="006517C5">
      <w:pPr>
        <w:rPr>
          <w:rFonts w:eastAsia="Arial"/>
          <w:sz w:val="22"/>
          <w:szCs w:val="22"/>
        </w:rPr>
      </w:pPr>
    </w:p>
    <w:p w14:paraId="1769D327" w14:textId="1E7C835E" w:rsidR="00C45857" w:rsidRPr="00F15140" w:rsidRDefault="00C45857" w:rsidP="006517C5">
      <w:pPr>
        <w:spacing w:after="60"/>
        <w:ind w:firstLine="360"/>
        <w:rPr>
          <w:rFonts w:eastAsia="Arial"/>
          <w:b/>
          <w:sz w:val="22"/>
          <w:szCs w:val="22"/>
        </w:rPr>
      </w:pPr>
      <w:r w:rsidRPr="006517C5">
        <w:rPr>
          <w:rFonts w:eastAsia="Arial"/>
          <w:b/>
          <w:sz w:val="22"/>
          <w:szCs w:val="22"/>
        </w:rPr>
        <w:t xml:space="preserve">Additional required </w:t>
      </w:r>
      <w:r w:rsidRPr="00F15140">
        <w:rPr>
          <w:rFonts w:eastAsia="Arial"/>
          <w:b/>
          <w:sz w:val="22"/>
          <w:szCs w:val="22"/>
        </w:rPr>
        <w:t>attachments:</w:t>
      </w:r>
    </w:p>
    <w:p w14:paraId="21B231FF" w14:textId="4FCB15CA" w:rsidR="00C45857" w:rsidRDefault="00C45857" w:rsidP="006517C5">
      <w:pPr>
        <w:pStyle w:val="ListParagraph"/>
        <w:numPr>
          <w:ilvl w:val="0"/>
          <w:numId w:val="33"/>
        </w:numPr>
        <w:spacing w:after="60"/>
        <w:contextualSpacing w:val="0"/>
        <w:rPr>
          <w:rFonts w:eastAsia="Arial"/>
          <w:sz w:val="22"/>
          <w:szCs w:val="22"/>
        </w:rPr>
      </w:pPr>
      <w:r w:rsidRPr="00C45857">
        <w:rPr>
          <w:rFonts w:eastAsia="Arial"/>
          <w:sz w:val="22"/>
          <w:szCs w:val="22"/>
        </w:rPr>
        <w:t>Copies of Proposed or Completed Cooperative Agreements</w:t>
      </w:r>
    </w:p>
    <w:p w14:paraId="4C34B65D" w14:textId="36044673" w:rsidR="00C45857" w:rsidRDefault="00C45857" w:rsidP="006517C5">
      <w:pPr>
        <w:pStyle w:val="ListParagraph"/>
        <w:numPr>
          <w:ilvl w:val="0"/>
          <w:numId w:val="33"/>
        </w:numPr>
        <w:spacing w:after="60"/>
        <w:contextualSpacing w:val="0"/>
        <w:rPr>
          <w:rFonts w:eastAsia="Arial"/>
          <w:sz w:val="22"/>
          <w:szCs w:val="22"/>
        </w:rPr>
      </w:pPr>
      <w:r w:rsidRPr="00C45857">
        <w:rPr>
          <w:rFonts w:eastAsia="Arial"/>
          <w:sz w:val="22"/>
          <w:szCs w:val="22"/>
        </w:rPr>
        <w:t>Organizational Chart</w:t>
      </w:r>
    </w:p>
    <w:p w14:paraId="1D44E681" w14:textId="492A141D" w:rsidR="00C45857" w:rsidRDefault="00C45857" w:rsidP="006517C5">
      <w:pPr>
        <w:pStyle w:val="ListParagraph"/>
        <w:numPr>
          <w:ilvl w:val="0"/>
          <w:numId w:val="33"/>
        </w:numPr>
        <w:spacing w:after="60"/>
        <w:contextualSpacing w:val="0"/>
        <w:rPr>
          <w:rFonts w:eastAsia="Arial"/>
          <w:sz w:val="22"/>
          <w:szCs w:val="22"/>
        </w:rPr>
      </w:pPr>
      <w:r w:rsidRPr="00C45857">
        <w:rPr>
          <w:rFonts w:eastAsia="Arial"/>
          <w:sz w:val="22"/>
          <w:szCs w:val="22"/>
        </w:rPr>
        <w:t>Job Descriptions for Grant-Funded and Match Staff, to include Project Volunteers</w:t>
      </w:r>
    </w:p>
    <w:p w14:paraId="774B98BC" w14:textId="3A9F9AC3" w:rsidR="00C45857" w:rsidRPr="00C45857" w:rsidRDefault="00C45857" w:rsidP="006517C5">
      <w:pPr>
        <w:pStyle w:val="ListParagraph"/>
        <w:numPr>
          <w:ilvl w:val="0"/>
          <w:numId w:val="33"/>
        </w:numPr>
        <w:spacing w:after="60"/>
        <w:contextualSpacing w:val="0"/>
        <w:rPr>
          <w:rFonts w:eastAsia="Arial"/>
          <w:sz w:val="22"/>
          <w:szCs w:val="22"/>
        </w:rPr>
      </w:pPr>
      <w:r w:rsidRPr="00C45857">
        <w:rPr>
          <w:rFonts w:eastAsia="Arial"/>
          <w:sz w:val="22"/>
          <w:szCs w:val="22"/>
        </w:rPr>
        <w:t>Internal Revenue Service 501(c)(3) Letter</w:t>
      </w:r>
      <w:r>
        <w:rPr>
          <w:rFonts w:eastAsia="Arial"/>
          <w:sz w:val="22"/>
          <w:szCs w:val="22"/>
        </w:rPr>
        <w:t xml:space="preserve"> (</w:t>
      </w:r>
      <w:r w:rsidRPr="00C45857">
        <w:rPr>
          <w:rFonts w:eastAsia="Arial"/>
          <w:b/>
          <w:i/>
          <w:sz w:val="22"/>
          <w:szCs w:val="22"/>
        </w:rPr>
        <w:t xml:space="preserve">nonprofit applicants </w:t>
      </w:r>
      <w:r>
        <w:rPr>
          <w:rFonts w:eastAsia="Arial"/>
          <w:b/>
          <w:i/>
          <w:sz w:val="22"/>
          <w:szCs w:val="22"/>
        </w:rPr>
        <w:t>only</w:t>
      </w:r>
      <w:r>
        <w:rPr>
          <w:rFonts w:eastAsia="Arial"/>
          <w:sz w:val="22"/>
          <w:szCs w:val="22"/>
        </w:rPr>
        <w:t>)</w:t>
      </w:r>
    </w:p>
    <w:p w14:paraId="74E20ED5" w14:textId="77777777" w:rsidR="00C45857" w:rsidRDefault="00C45857" w:rsidP="006517C5">
      <w:pPr>
        <w:ind w:left="360"/>
        <w:rPr>
          <w:rFonts w:eastAsia="Arial"/>
          <w:sz w:val="22"/>
          <w:szCs w:val="22"/>
        </w:rPr>
      </w:pPr>
    </w:p>
    <w:p w14:paraId="1F5FE988" w14:textId="6EF62651" w:rsidR="00EC7733" w:rsidRDefault="00EC7733" w:rsidP="00280290">
      <w:pPr>
        <w:spacing w:after="60"/>
        <w:ind w:left="360"/>
        <w:rPr>
          <w:rFonts w:eastAsia="Arial"/>
          <w:sz w:val="22"/>
          <w:szCs w:val="22"/>
        </w:rPr>
      </w:pPr>
      <w:r w:rsidRPr="00EC7733">
        <w:rPr>
          <w:rFonts w:eastAsia="Arial"/>
          <w:b/>
          <w:sz w:val="22"/>
          <w:szCs w:val="22"/>
        </w:rPr>
        <w:t>See the DCJS VOCA Victims Services Grant Program webpage for additional resources</w:t>
      </w:r>
      <w:r w:rsidR="00280290">
        <w:rPr>
          <w:rFonts w:eastAsia="Arial"/>
          <w:b/>
          <w:sz w:val="22"/>
          <w:szCs w:val="22"/>
        </w:rPr>
        <w:t xml:space="preserve"> </w:t>
      </w:r>
      <w:r w:rsidR="00280290" w:rsidRPr="00280290">
        <w:rPr>
          <w:rFonts w:eastAsia="Arial"/>
          <w:sz w:val="22"/>
          <w:szCs w:val="22"/>
        </w:rPr>
        <w:t>(</w:t>
      </w:r>
      <w:hyperlink r:id="rId29" w:history="1">
        <w:r w:rsidR="00280290" w:rsidRPr="00280290">
          <w:rPr>
            <w:rStyle w:val="Hyperlink"/>
            <w:rFonts w:eastAsia="Arial"/>
            <w:sz w:val="22"/>
            <w:szCs w:val="22"/>
          </w:rPr>
          <w:t>www.dcjs.virginia.gov/victims-services/grants</w:t>
        </w:r>
      </w:hyperlink>
      <w:r w:rsidR="00280290" w:rsidRPr="00280290">
        <w:rPr>
          <w:rFonts w:eastAsia="Arial"/>
          <w:sz w:val="22"/>
          <w:szCs w:val="22"/>
        </w:rPr>
        <w:t>)</w:t>
      </w:r>
      <w:r>
        <w:rPr>
          <w:rFonts w:eastAsia="Arial"/>
          <w:sz w:val="22"/>
          <w:szCs w:val="22"/>
        </w:rPr>
        <w:t>:</w:t>
      </w:r>
    </w:p>
    <w:p w14:paraId="3D8ECC77" w14:textId="5234D6B2" w:rsidR="00EC7733" w:rsidRDefault="00EC7733" w:rsidP="00280290">
      <w:pPr>
        <w:pStyle w:val="ListParagraph"/>
        <w:numPr>
          <w:ilvl w:val="0"/>
          <w:numId w:val="34"/>
        </w:numPr>
        <w:spacing w:after="60"/>
        <w:contextualSpacing w:val="0"/>
        <w:rPr>
          <w:rFonts w:eastAsia="Arial"/>
          <w:sz w:val="22"/>
          <w:szCs w:val="22"/>
        </w:rPr>
      </w:pPr>
      <w:r>
        <w:rPr>
          <w:rFonts w:eastAsia="Arial"/>
          <w:sz w:val="22"/>
          <w:szCs w:val="22"/>
        </w:rPr>
        <w:t>Grant Application Resources</w:t>
      </w:r>
    </w:p>
    <w:p w14:paraId="2A46C4B4" w14:textId="575432D6" w:rsidR="00EC7733" w:rsidRDefault="00EC7733" w:rsidP="00280290">
      <w:pPr>
        <w:pStyle w:val="ListParagraph"/>
        <w:numPr>
          <w:ilvl w:val="0"/>
          <w:numId w:val="34"/>
        </w:numPr>
        <w:spacing w:after="60"/>
        <w:contextualSpacing w:val="0"/>
        <w:rPr>
          <w:rFonts w:eastAsia="Arial"/>
          <w:sz w:val="22"/>
          <w:szCs w:val="22"/>
        </w:rPr>
      </w:pPr>
      <w:r>
        <w:rPr>
          <w:rFonts w:eastAsia="Arial"/>
          <w:sz w:val="22"/>
          <w:szCs w:val="22"/>
        </w:rPr>
        <w:t>Federal VOCA Reporting Resources</w:t>
      </w:r>
    </w:p>
    <w:p w14:paraId="0A631F4E" w14:textId="2486FF37" w:rsidR="00EC7733" w:rsidRPr="002F0C9E" w:rsidRDefault="00EC7733" w:rsidP="00280290">
      <w:pPr>
        <w:pStyle w:val="ListParagraph"/>
        <w:numPr>
          <w:ilvl w:val="0"/>
          <w:numId w:val="34"/>
        </w:numPr>
        <w:spacing w:after="60"/>
        <w:contextualSpacing w:val="0"/>
        <w:rPr>
          <w:rFonts w:eastAsia="Arial"/>
          <w:sz w:val="22"/>
          <w:szCs w:val="22"/>
        </w:rPr>
      </w:pPr>
      <w:r w:rsidRPr="002F0C9E">
        <w:rPr>
          <w:rFonts w:eastAsia="Arial"/>
          <w:sz w:val="22"/>
          <w:szCs w:val="22"/>
        </w:rPr>
        <w:t>Federal Financial Management Resources</w:t>
      </w:r>
    </w:p>
    <w:p w14:paraId="17B4A1B8" w14:textId="77777777" w:rsidR="00EC7733" w:rsidRPr="0041788C" w:rsidRDefault="00EC7733" w:rsidP="00280290">
      <w:pPr>
        <w:spacing w:after="60"/>
        <w:ind w:left="360"/>
        <w:rPr>
          <w:rFonts w:eastAsia="Arial"/>
          <w:sz w:val="22"/>
          <w:szCs w:val="22"/>
        </w:rPr>
      </w:pPr>
    </w:p>
    <w:sectPr w:rsidR="00EC7733" w:rsidRPr="0041788C" w:rsidSect="00EB415B">
      <w:headerReference w:type="default" r:id="rId30"/>
      <w:footerReference w:type="even" r:id="rId31"/>
      <w:footerReference w:type="default" r:id="rId32"/>
      <w:headerReference w:type="first" r:id="rId33"/>
      <w:pgSz w:w="12240" w:h="15840"/>
      <w:pgMar w:top="1440" w:right="1440" w:bottom="108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08129" w14:textId="77777777" w:rsidR="009D203A" w:rsidRDefault="009D203A">
      <w:r>
        <w:separator/>
      </w:r>
    </w:p>
  </w:endnote>
  <w:endnote w:type="continuationSeparator" w:id="0">
    <w:p w14:paraId="5A11BEBE" w14:textId="77777777" w:rsidR="009D203A" w:rsidRDefault="009D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388A2" w14:textId="77777777" w:rsidR="001F6AFF" w:rsidRDefault="001F6AFF">
    <w:pPr>
      <w:pBdr>
        <w:top w:val="nil"/>
        <w:left w:val="nil"/>
        <w:bottom w:val="nil"/>
        <w:right w:val="nil"/>
        <w:between w:val="nil"/>
      </w:pBdr>
      <w:tabs>
        <w:tab w:val="center" w:pos="4320"/>
        <w:tab w:val="right" w:pos="8640"/>
      </w:tabs>
      <w:jc w:val="center"/>
      <w:rPr>
        <w:color w:val="000000"/>
        <w:sz w:val="24"/>
        <w:szCs w:val="24"/>
      </w:rPr>
    </w:pPr>
  </w:p>
  <w:p w14:paraId="0F6D870C" w14:textId="77777777" w:rsidR="001F6AFF" w:rsidRDefault="001F6AFF">
    <w:pPr>
      <w:pBdr>
        <w:top w:val="nil"/>
        <w:left w:val="nil"/>
        <w:bottom w:val="nil"/>
        <w:right w:val="nil"/>
        <w:between w:val="nil"/>
      </w:pBdr>
      <w:tabs>
        <w:tab w:val="center" w:pos="4320"/>
        <w:tab w:val="right" w:pos="8640"/>
      </w:tabs>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93921"/>
      <w:docPartObj>
        <w:docPartGallery w:val="Page Numbers (Bottom of Page)"/>
        <w:docPartUnique/>
      </w:docPartObj>
    </w:sdtPr>
    <w:sdtEndPr/>
    <w:sdtContent>
      <w:sdt>
        <w:sdtPr>
          <w:id w:val="1728636285"/>
          <w:docPartObj>
            <w:docPartGallery w:val="Page Numbers (Top of Page)"/>
            <w:docPartUnique/>
          </w:docPartObj>
        </w:sdtPr>
        <w:sdtEndPr/>
        <w:sdtContent>
          <w:p w14:paraId="47C17340" w14:textId="464999B5" w:rsidR="001F6AFF" w:rsidRPr="001363DD" w:rsidRDefault="001F6AFF" w:rsidP="001363DD">
            <w:pPr>
              <w:pStyle w:val="Footer"/>
              <w:jc w:val="center"/>
            </w:pPr>
            <w:r w:rsidRPr="001363DD">
              <w:t xml:space="preserve">Page </w:t>
            </w:r>
            <w:r w:rsidRPr="001363DD">
              <w:rPr>
                <w:bCs/>
                <w:sz w:val="24"/>
                <w:szCs w:val="24"/>
              </w:rPr>
              <w:fldChar w:fldCharType="begin"/>
            </w:r>
            <w:r w:rsidRPr="001363DD">
              <w:rPr>
                <w:bCs/>
              </w:rPr>
              <w:instrText xml:space="preserve"> PAGE </w:instrText>
            </w:r>
            <w:r w:rsidRPr="001363DD">
              <w:rPr>
                <w:bCs/>
                <w:sz w:val="24"/>
                <w:szCs w:val="24"/>
              </w:rPr>
              <w:fldChar w:fldCharType="separate"/>
            </w:r>
            <w:r w:rsidR="0020603E">
              <w:rPr>
                <w:bCs/>
                <w:noProof/>
              </w:rPr>
              <w:t>11</w:t>
            </w:r>
            <w:r w:rsidRPr="001363DD">
              <w:rPr>
                <w:bCs/>
                <w:sz w:val="24"/>
                <w:szCs w:val="24"/>
              </w:rPr>
              <w:fldChar w:fldCharType="end"/>
            </w:r>
            <w:r w:rsidRPr="001363DD">
              <w:t xml:space="preserve"> of </w:t>
            </w:r>
            <w:r w:rsidRPr="001363DD">
              <w:rPr>
                <w:bCs/>
                <w:sz w:val="24"/>
                <w:szCs w:val="24"/>
              </w:rPr>
              <w:fldChar w:fldCharType="begin"/>
            </w:r>
            <w:r w:rsidRPr="001363DD">
              <w:rPr>
                <w:bCs/>
              </w:rPr>
              <w:instrText xml:space="preserve"> NUMPAGES  </w:instrText>
            </w:r>
            <w:r w:rsidRPr="001363DD">
              <w:rPr>
                <w:bCs/>
                <w:sz w:val="24"/>
                <w:szCs w:val="24"/>
              </w:rPr>
              <w:fldChar w:fldCharType="separate"/>
            </w:r>
            <w:r w:rsidR="0020603E">
              <w:rPr>
                <w:bCs/>
                <w:noProof/>
              </w:rPr>
              <w:t>19</w:t>
            </w:r>
            <w:r w:rsidRPr="001363DD">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1C314" w14:textId="77777777" w:rsidR="009D203A" w:rsidRDefault="009D203A">
      <w:r>
        <w:separator/>
      </w:r>
    </w:p>
  </w:footnote>
  <w:footnote w:type="continuationSeparator" w:id="0">
    <w:p w14:paraId="0DE131E6" w14:textId="77777777" w:rsidR="009D203A" w:rsidRDefault="009D203A">
      <w:r>
        <w:continuationSeparator/>
      </w:r>
    </w:p>
  </w:footnote>
  <w:footnote w:id="1">
    <w:p w14:paraId="2BFF6CF3" w14:textId="6C983835" w:rsidR="001F6AFF" w:rsidRDefault="001F6AFF">
      <w:pPr>
        <w:pStyle w:val="FootnoteText"/>
      </w:pPr>
      <w:r>
        <w:rPr>
          <w:rStyle w:val="FootnoteReference"/>
        </w:rPr>
        <w:footnoteRef/>
      </w:r>
      <w:r>
        <w:t xml:space="preserve"> Virginia State Patrol Uniform Crime </w:t>
      </w:r>
      <w:r w:rsidR="00490743">
        <w:t xml:space="preserve">Report. </w:t>
      </w:r>
      <w:r>
        <w:t>“2017 Crime in Virginia” (2018).</w:t>
      </w:r>
      <w:r w:rsidRPr="001F6AFF">
        <w:t xml:space="preserve"> http://www.vsp.virginia.gov/downloads/Crime_in_Virginia/Crime_in_Virginia_2017.pdf</w:t>
      </w:r>
    </w:p>
  </w:footnote>
  <w:footnote w:id="2">
    <w:p w14:paraId="0B5EDCA2" w14:textId="7157A530" w:rsidR="002B0CD8" w:rsidRDefault="002B0CD8">
      <w:pPr>
        <w:pStyle w:val="FootnoteText"/>
      </w:pPr>
      <w:r>
        <w:rPr>
          <w:rStyle w:val="FootnoteReference"/>
        </w:rPr>
        <w:footnoteRef/>
      </w:r>
      <w:r>
        <w:t xml:space="preserve"> Virginia Department of Health’s Virginia Online Injury Reporting System. “Virginia Online Injury Reporting System (VOIRS) Death Data</w:t>
      </w:r>
      <w:r w:rsidR="006746BE">
        <w:t>.</w:t>
      </w:r>
      <w:r>
        <w:t xml:space="preserve">” </w:t>
      </w:r>
      <w:r w:rsidRPr="002B0CD8">
        <w:t>http://www.vdh.virginia.gov/voirs/hospitalizations-2016-and-later/</w:t>
      </w:r>
    </w:p>
  </w:footnote>
  <w:footnote w:id="3">
    <w:p w14:paraId="4749B24B" w14:textId="5A1796A6" w:rsidR="001F6AFF" w:rsidRPr="00554486" w:rsidRDefault="001F6AFF" w:rsidP="00043515">
      <w:pPr>
        <w:pStyle w:val="EndnoteText"/>
        <w:rPr>
          <w:rFonts w:ascii="Times New Roman" w:hAnsi="Times New Roman" w:cs="Times New Roman"/>
          <w:sz w:val="18"/>
          <w:szCs w:val="18"/>
        </w:rPr>
      </w:pPr>
      <w:r w:rsidRPr="00554486">
        <w:rPr>
          <w:rStyle w:val="FootnoteReference"/>
          <w:rFonts w:ascii="Times New Roman" w:hAnsi="Times New Roman" w:cs="Times New Roman"/>
          <w:sz w:val="18"/>
          <w:szCs w:val="18"/>
        </w:rPr>
        <w:footnoteRef/>
      </w:r>
      <w:r w:rsidRPr="00554486">
        <w:rPr>
          <w:rFonts w:ascii="Times New Roman" w:hAnsi="Times New Roman" w:cs="Times New Roman"/>
          <w:sz w:val="18"/>
          <w:szCs w:val="18"/>
        </w:rPr>
        <w:t xml:space="preserve"> Giffords Law Center to Prevent Gun Violence</w:t>
      </w:r>
      <w:r>
        <w:rPr>
          <w:rFonts w:ascii="Times New Roman" w:hAnsi="Times New Roman" w:cs="Times New Roman"/>
          <w:sz w:val="18"/>
          <w:szCs w:val="18"/>
        </w:rPr>
        <w:t>,</w:t>
      </w:r>
      <w:r w:rsidRPr="00554486">
        <w:rPr>
          <w:rFonts w:ascii="Times New Roman" w:hAnsi="Times New Roman" w:cs="Times New Roman"/>
          <w:sz w:val="18"/>
          <w:szCs w:val="18"/>
        </w:rPr>
        <w:t xml:space="preserve"> using a model published in 2012 by economists at the Pacific Institute for Research and Evaluation (PIRE). The cost estimates were adjusted to 2016 dollars.</w:t>
      </w:r>
    </w:p>
  </w:footnote>
  <w:footnote w:id="4">
    <w:p w14:paraId="0518FBDB" w14:textId="3EDED3E3" w:rsidR="001F6AFF" w:rsidRDefault="001F6AFF" w:rsidP="00043515">
      <w:pPr>
        <w:pStyle w:val="FootnoteText"/>
      </w:pPr>
      <w:r w:rsidRPr="00554486">
        <w:rPr>
          <w:rStyle w:val="FootnoteReference"/>
          <w:sz w:val="18"/>
          <w:szCs w:val="18"/>
        </w:rPr>
        <w:footnoteRef/>
      </w:r>
      <w:r w:rsidRPr="00554486">
        <w:rPr>
          <w:sz w:val="18"/>
          <w:szCs w:val="18"/>
        </w:rPr>
        <w:t xml:space="preserve"> Healing Justice Alliance. Keys to Collaboration between Hospital Based Violence Intervention and Cure Violence Programs. </w:t>
      </w:r>
      <w:r w:rsidRPr="006746BE">
        <w:rPr>
          <w:rStyle w:val="Hyperlink"/>
          <w:color w:val="auto"/>
          <w:sz w:val="18"/>
          <w:szCs w:val="18"/>
          <w:u w:val="none"/>
        </w:rPr>
        <w:t>https://static1.squarespace.com/static/566b074fbfe87338d2021874/t/5b3df65488251b5631c845a7/1530787437553/Brief_Two_HJA_V6.pdf</w:t>
      </w:r>
    </w:p>
  </w:footnote>
  <w:footnote w:id="5">
    <w:p w14:paraId="15395A71" w14:textId="540953D6" w:rsidR="001F6AFF" w:rsidRPr="00087CAC" w:rsidRDefault="001F6AFF">
      <w:pPr>
        <w:pStyle w:val="FootnoteText"/>
      </w:pPr>
      <w:r>
        <w:rPr>
          <w:rStyle w:val="FootnoteReference"/>
        </w:rPr>
        <w:footnoteRef/>
      </w:r>
      <w:r>
        <w:t xml:space="preserve"> </w:t>
      </w:r>
      <w:r w:rsidRPr="00087CAC">
        <w:rPr>
          <w:sz w:val="18"/>
          <w:szCs w:val="18"/>
        </w:rPr>
        <w:t>Healing Justice Alliance.</w:t>
      </w:r>
    </w:p>
  </w:footnote>
  <w:footnote w:id="6">
    <w:p w14:paraId="0F1E9C57" w14:textId="195EC9FF" w:rsidR="001F6AFF" w:rsidRPr="00087CAC" w:rsidRDefault="001F6AFF">
      <w:pPr>
        <w:pStyle w:val="FootnoteText"/>
      </w:pPr>
      <w:r w:rsidRPr="00087CAC">
        <w:rPr>
          <w:rStyle w:val="FootnoteReference"/>
        </w:rPr>
        <w:footnoteRef/>
      </w:r>
      <w:r w:rsidRPr="00087CAC">
        <w:t xml:space="preserve"> </w:t>
      </w:r>
      <w:r w:rsidRPr="00087CAC">
        <w:rPr>
          <w:sz w:val="18"/>
          <w:szCs w:val="18"/>
        </w:rPr>
        <w:t>Healing Justice Alliance.</w:t>
      </w:r>
    </w:p>
  </w:footnote>
  <w:footnote w:id="7">
    <w:p w14:paraId="2E27C02E" w14:textId="3070B24F" w:rsidR="001F6AFF" w:rsidRDefault="001F6AFF">
      <w:pPr>
        <w:pStyle w:val="FootnoteText"/>
      </w:pPr>
      <w:r>
        <w:rPr>
          <w:rStyle w:val="FootnoteReference"/>
        </w:rPr>
        <w:footnoteRef/>
      </w:r>
      <w:r>
        <w:t xml:space="preserve"> </w:t>
      </w:r>
      <w:r w:rsidRPr="00087CAC">
        <w:rPr>
          <w:sz w:val="18"/>
          <w:szCs w:val="18"/>
        </w:rPr>
        <w:t>Healing Justice Alliance.</w:t>
      </w:r>
    </w:p>
  </w:footnote>
  <w:footnote w:id="8">
    <w:p w14:paraId="7668656D" w14:textId="28C70B1E" w:rsidR="00993A6B" w:rsidRDefault="00993A6B">
      <w:pPr>
        <w:pStyle w:val="FootnoteText"/>
      </w:pPr>
      <w:r>
        <w:rPr>
          <w:rStyle w:val="FootnoteReference"/>
        </w:rPr>
        <w:footnoteRef/>
      </w:r>
      <w:r>
        <w:t xml:space="preserve"> </w:t>
      </w:r>
      <w:r w:rsidRPr="006B56CA">
        <w:rPr>
          <w:color w:val="000000"/>
          <w:sz w:val="18"/>
          <w:szCs w:val="18"/>
          <w:shd w:val="clear" w:color="auto" w:fill="FFFFFF"/>
        </w:rPr>
        <w:t>Juillard, C., Smith, R., Anaya, N., Garcia, A., Kahn, JG, &amp; Dicker, RA.. Saving lives and saving money: Hospital-based violence intervention is cost-effective. </w:t>
      </w:r>
      <w:r w:rsidRPr="006B56CA">
        <w:rPr>
          <w:rStyle w:val="Emphasis"/>
          <w:color w:val="000000"/>
          <w:sz w:val="18"/>
          <w:szCs w:val="18"/>
          <w:shd w:val="clear" w:color="auto" w:fill="FFFFFF"/>
        </w:rPr>
        <w:t>Journal of Trauma and Acute Care Surgery</w:t>
      </w:r>
      <w:r w:rsidRPr="006B56CA">
        <w:rPr>
          <w:color w:val="000000"/>
          <w:sz w:val="18"/>
          <w:szCs w:val="18"/>
          <w:shd w:val="clear" w:color="auto" w:fill="FFFFFF"/>
        </w:rPr>
        <w:t>, 78(2), 252-258</w:t>
      </w:r>
    </w:p>
  </w:footnote>
  <w:footnote w:id="9">
    <w:p w14:paraId="17B0C0E8" w14:textId="646A6374" w:rsidR="001F6AFF" w:rsidRPr="006B56CA" w:rsidRDefault="001F6AFF" w:rsidP="006B56CA">
      <w:pPr>
        <w:pStyle w:val="FootnoteText"/>
      </w:pPr>
      <w:r>
        <w:rPr>
          <w:rStyle w:val="FootnoteReference"/>
        </w:rPr>
        <w:footnoteRef/>
      </w:r>
      <w:r>
        <w:t xml:space="preserve"> </w:t>
      </w:r>
      <w:r w:rsidRPr="006B56CA">
        <w:rPr>
          <w:color w:val="000000"/>
          <w:sz w:val="18"/>
          <w:szCs w:val="18"/>
          <w:shd w:val="clear" w:color="auto" w:fill="FFFFFF"/>
        </w:rPr>
        <w:t>Juillard, C., Smith, R., Anaya, N., Garcia, A., Kahn, JG, &amp; Dicker, RA.. Saving lives and saving money: Hospital-based violence intervention is cost-effective. </w:t>
      </w:r>
      <w:r w:rsidRPr="006B56CA">
        <w:rPr>
          <w:rStyle w:val="Emphasis"/>
          <w:color w:val="000000"/>
          <w:sz w:val="18"/>
          <w:szCs w:val="18"/>
          <w:shd w:val="clear" w:color="auto" w:fill="FFFFFF"/>
        </w:rPr>
        <w:t>Journal of Trauma and Acute Care Surgery</w:t>
      </w:r>
      <w:r w:rsidRPr="006B56CA">
        <w:rPr>
          <w:color w:val="000000"/>
          <w:sz w:val="18"/>
          <w:szCs w:val="18"/>
          <w:shd w:val="clear" w:color="auto" w:fill="FFFFFF"/>
        </w:rPr>
        <w:t>, 78(2), 252-258</w:t>
      </w:r>
    </w:p>
  </w:footnote>
  <w:footnote w:id="10">
    <w:p w14:paraId="6E403EED" w14:textId="1BD5DC08" w:rsidR="001F6AFF" w:rsidRPr="006B56CA" w:rsidRDefault="001F6AFF">
      <w:pPr>
        <w:pStyle w:val="FootnoteText"/>
      </w:pPr>
      <w:r>
        <w:rPr>
          <w:rStyle w:val="FootnoteReference"/>
        </w:rPr>
        <w:footnoteRef/>
      </w:r>
      <w:r>
        <w:t xml:space="preserve"> </w:t>
      </w:r>
      <w:r w:rsidRPr="006B56CA">
        <w:rPr>
          <w:sz w:val="18"/>
          <w:szCs w:val="18"/>
        </w:rPr>
        <w:t>Chong, V, Smith, R., Garcia, A., Lee, W. Ashley, L., marks, A., Liu, T., Victorino, G. Hospital-centered violence intervention programs: a cost-effectiveness analysis. American Journal of Surgery, 209, (2015) 597-603.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E4418" w14:textId="0CB9831B" w:rsidR="001F6AFF" w:rsidRPr="001363DD" w:rsidRDefault="001F6AFF">
    <w:pPr>
      <w:pStyle w:val="Heading1"/>
      <w:spacing w:before="0" w:after="0"/>
      <w:rPr>
        <w:rFonts w:ascii="Times New Roman" w:hAnsi="Times New Roman" w:cs="Times New Roman"/>
        <w:sz w:val="18"/>
        <w:szCs w:val="18"/>
      </w:rPr>
    </w:pPr>
    <w:r w:rsidRPr="001363DD">
      <w:rPr>
        <w:rFonts w:ascii="Times New Roman" w:hAnsi="Times New Roman" w:cs="Times New Roman"/>
        <w:sz w:val="20"/>
        <w:szCs w:val="20"/>
      </w:rPr>
      <w:t xml:space="preserve">VOCA </w:t>
    </w:r>
    <w:r>
      <w:rPr>
        <w:rFonts w:ascii="Times New Roman" w:hAnsi="Times New Roman" w:cs="Times New Roman"/>
        <w:sz w:val="20"/>
        <w:szCs w:val="20"/>
      </w:rPr>
      <w:t>Hospital-Based Violence Intervention</w:t>
    </w:r>
    <w:r w:rsidRPr="00783C71">
      <w:rPr>
        <w:rFonts w:ascii="Times New Roman" w:hAnsi="Times New Roman" w:cs="Times New Roman"/>
        <w:sz w:val="20"/>
        <w:szCs w:val="20"/>
      </w:rPr>
      <w:t xml:space="preserve"> Grant</w:t>
    </w:r>
    <w:r w:rsidRPr="001363DD">
      <w:rPr>
        <w:rFonts w:ascii="Times New Roman" w:hAnsi="Times New Roman" w:cs="Times New Roman"/>
        <w:sz w:val="20"/>
        <w:szCs w:val="20"/>
      </w:rPr>
      <w:t xml:space="preserve"> Program | </w:t>
    </w:r>
    <w:r w:rsidRPr="001363DD">
      <w:rPr>
        <w:rFonts w:ascii="Times New Roman" w:hAnsi="Times New Roman" w:cs="Times New Roman"/>
        <w:sz w:val="18"/>
        <w:szCs w:val="18"/>
      </w:rPr>
      <w:t xml:space="preserve">Fiscal Years 2020 </w:t>
    </w:r>
    <w:r>
      <w:rPr>
        <w:rFonts w:ascii="Times New Roman" w:hAnsi="Times New Roman" w:cs="Times New Roman"/>
        <w:sz w:val="18"/>
        <w:szCs w:val="18"/>
      </w:rPr>
      <w:t>and 2021</w:t>
    </w:r>
  </w:p>
  <w:p w14:paraId="4ED72236" w14:textId="77777777" w:rsidR="001F6AFF" w:rsidRPr="001363DD" w:rsidRDefault="001F6AFF">
    <w:pPr>
      <w:pStyle w:val="Heading1"/>
      <w:pBdr>
        <w:bottom w:val="single" w:sz="6" w:space="1" w:color="000000"/>
      </w:pBdr>
      <w:spacing w:before="0" w:after="0"/>
      <w:rPr>
        <w:rFonts w:ascii="Times New Roman" w:hAnsi="Times New Roman" w:cs="Times New Roman"/>
        <w:i/>
        <w:sz w:val="18"/>
        <w:szCs w:val="18"/>
      </w:rPr>
    </w:pPr>
    <w:r w:rsidRPr="001363DD">
      <w:rPr>
        <w:rFonts w:ascii="Times New Roman" w:hAnsi="Times New Roman" w:cs="Times New Roman"/>
        <w:i/>
        <w:sz w:val="18"/>
        <w:szCs w:val="18"/>
      </w:rPr>
      <w:t>Program Guidelines and Application Procedures</w:t>
    </w:r>
  </w:p>
  <w:p w14:paraId="2E485520" w14:textId="77777777" w:rsidR="001F6AFF" w:rsidRDefault="001F6AFF">
    <w:pPr>
      <w:pBdr>
        <w:bottom w:val="single" w:sz="6" w:space="1" w:color="000000"/>
      </w:pBd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7BF4" w14:textId="77777777" w:rsidR="001F6AFF" w:rsidRDefault="001F6AFF">
    <w:pPr>
      <w:pBdr>
        <w:top w:val="nil"/>
        <w:left w:val="nil"/>
        <w:bottom w:val="nil"/>
        <w:right w:val="nil"/>
        <w:between w:val="nil"/>
      </w:pBdr>
      <w:tabs>
        <w:tab w:val="center" w:pos="4320"/>
        <w:tab w:val="right" w:pos="8640"/>
      </w:tabs>
      <w:jc w:val="center"/>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434"/>
    <w:multiLevelType w:val="multilevel"/>
    <w:tmpl w:val="D18EC5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FE11C9"/>
    <w:multiLevelType w:val="multilevel"/>
    <w:tmpl w:val="DB4A5DB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655E0C"/>
    <w:multiLevelType w:val="hybridMultilevel"/>
    <w:tmpl w:val="54B65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A67F3"/>
    <w:multiLevelType w:val="multilevel"/>
    <w:tmpl w:val="3B28BF80"/>
    <w:lvl w:ilvl="0">
      <w:start w:val="1"/>
      <w:numFmt w:val="bullet"/>
      <w:lvlText w:val="•"/>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E074CCA"/>
    <w:multiLevelType w:val="hybridMultilevel"/>
    <w:tmpl w:val="E37230D2"/>
    <w:lvl w:ilvl="0" w:tplc="0A969C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A87149"/>
    <w:multiLevelType w:val="hybridMultilevel"/>
    <w:tmpl w:val="99CA6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102FE"/>
    <w:multiLevelType w:val="multilevel"/>
    <w:tmpl w:val="D1100F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5B36E9"/>
    <w:multiLevelType w:val="multilevel"/>
    <w:tmpl w:val="8E84F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E25C33"/>
    <w:multiLevelType w:val="hybridMultilevel"/>
    <w:tmpl w:val="B1B03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661C9C"/>
    <w:multiLevelType w:val="hybridMultilevel"/>
    <w:tmpl w:val="1E389206"/>
    <w:lvl w:ilvl="0" w:tplc="EA1E098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7393D"/>
    <w:multiLevelType w:val="multilevel"/>
    <w:tmpl w:val="24D68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2F369D"/>
    <w:multiLevelType w:val="hybridMultilevel"/>
    <w:tmpl w:val="B5CA9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8447B"/>
    <w:multiLevelType w:val="multilevel"/>
    <w:tmpl w:val="CC6258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3995B06"/>
    <w:multiLevelType w:val="multilevel"/>
    <w:tmpl w:val="9EF4803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4050FCF"/>
    <w:multiLevelType w:val="hybridMultilevel"/>
    <w:tmpl w:val="B648648C"/>
    <w:lvl w:ilvl="0" w:tplc="14DCB06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20694"/>
    <w:multiLevelType w:val="multilevel"/>
    <w:tmpl w:val="0BD2C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2DC6593"/>
    <w:multiLevelType w:val="hybridMultilevel"/>
    <w:tmpl w:val="285CA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CE1165"/>
    <w:multiLevelType w:val="hybridMultilevel"/>
    <w:tmpl w:val="09AAFF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3871B0"/>
    <w:multiLevelType w:val="hybridMultilevel"/>
    <w:tmpl w:val="7CEAC4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F75EF"/>
    <w:multiLevelType w:val="multilevel"/>
    <w:tmpl w:val="5756F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7B36BDF"/>
    <w:multiLevelType w:val="hybridMultilevel"/>
    <w:tmpl w:val="20747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227510"/>
    <w:multiLevelType w:val="hybridMultilevel"/>
    <w:tmpl w:val="7CEAC4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A7239"/>
    <w:multiLevelType w:val="multilevel"/>
    <w:tmpl w:val="920C80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A044D8"/>
    <w:multiLevelType w:val="hybridMultilevel"/>
    <w:tmpl w:val="3CA0308C"/>
    <w:lvl w:ilvl="0" w:tplc="7158A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8D76B5"/>
    <w:multiLevelType w:val="multilevel"/>
    <w:tmpl w:val="A458466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466CA9"/>
    <w:multiLevelType w:val="hybridMultilevel"/>
    <w:tmpl w:val="54B65B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19402C"/>
    <w:multiLevelType w:val="multilevel"/>
    <w:tmpl w:val="CADAB03E"/>
    <w:lvl w:ilvl="0">
      <w:start w:val="1"/>
      <w:numFmt w:val="decimal"/>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703E95"/>
    <w:multiLevelType w:val="hybridMultilevel"/>
    <w:tmpl w:val="BE5C7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753EDE"/>
    <w:multiLevelType w:val="hybridMultilevel"/>
    <w:tmpl w:val="139A42F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93787"/>
    <w:multiLevelType w:val="multilevel"/>
    <w:tmpl w:val="F47E41C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E4D6D37"/>
    <w:multiLevelType w:val="hybridMultilevel"/>
    <w:tmpl w:val="50ECF29C"/>
    <w:lvl w:ilvl="0" w:tplc="70FE4C6C">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511BAB"/>
    <w:multiLevelType w:val="multilevel"/>
    <w:tmpl w:val="505AF694"/>
    <w:lvl w:ilvl="0">
      <w:start w:val="1"/>
      <w:numFmt w:val="bullet"/>
      <w:lvlText w:val="•"/>
      <w:lvlJc w:val="left"/>
      <w:pPr>
        <w:ind w:left="1440" w:hanging="360"/>
      </w:pPr>
      <w:rPr>
        <w:rFont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F07676B"/>
    <w:multiLevelType w:val="hybridMultilevel"/>
    <w:tmpl w:val="FD80D1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4865D6"/>
    <w:multiLevelType w:val="hybridMultilevel"/>
    <w:tmpl w:val="18BC2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D062DB"/>
    <w:multiLevelType w:val="hybridMultilevel"/>
    <w:tmpl w:val="BBE49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068CD"/>
    <w:multiLevelType w:val="hybridMultilevel"/>
    <w:tmpl w:val="E3AAB5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8F164C"/>
    <w:multiLevelType w:val="multilevel"/>
    <w:tmpl w:val="23FAA7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70F7841"/>
    <w:multiLevelType w:val="hybridMultilevel"/>
    <w:tmpl w:val="70FE49FA"/>
    <w:lvl w:ilvl="0" w:tplc="87569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7D7CDF"/>
    <w:multiLevelType w:val="multilevel"/>
    <w:tmpl w:val="836683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A870EBD"/>
    <w:multiLevelType w:val="hybridMultilevel"/>
    <w:tmpl w:val="54B65B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AB9105C"/>
    <w:multiLevelType w:val="hybridMultilevel"/>
    <w:tmpl w:val="B0949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2B2DC0"/>
    <w:multiLevelType w:val="multilevel"/>
    <w:tmpl w:val="D2D6F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C76289C"/>
    <w:multiLevelType w:val="multilevel"/>
    <w:tmpl w:val="397E26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D175888"/>
    <w:multiLevelType w:val="multilevel"/>
    <w:tmpl w:val="46F0C3A6"/>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4" w15:restartNumberingAfterBreak="0">
    <w:nsid w:val="7104753D"/>
    <w:multiLevelType w:val="multilevel"/>
    <w:tmpl w:val="D0C8FFDC"/>
    <w:lvl w:ilvl="0">
      <w:start w:val="1"/>
      <w:numFmt w:val="bullet"/>
      <w:lvlText w:val="•"/>
      <w:lvlJc w:val="left"/>
      <w:pPr>
        <w:ind w:left="2160" w:hanging="360"/>
      </w:pPr>
      <w:rPr>
        <w:rFonts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5" w15:restartNumberingAfterBreak="0">
    <w:nsid w:val="728056AA"/>
    <w:multiLevelType w:val="hybridMultilevel"/>
    <w:tmpl w:val="20747B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76333C"/>
    <w:multiLevelType w:val="multilevel"/>
    <w:tmpl w:val="7AF0C4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957F4C"/>
    <w:multiLevelType w:val="multilevel"/>
    <w:tmpl w:val="92F89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7"/>
  </w:num>
  <w:num w:numId="3">
    <w:abstractNumId w:val="42"/>
  </w:num>
  <w:num w:numId="4">
    <w:abstractNumId w:val="29"/>
  </w:num>
  <w:num w:numId="5">
    <w:abstractNumId w:val="24"/>
  </w:num>
  <w:num w:numId="6">
    <w:abstractNumId w:val="10"/>
  </w:num>
  <w:num w:numId="7">
    <w:abstractNumId w:val="6"/>
  </w:num>
  <w:num w:numId="8">
    <w:abstractNumId w:val="38"/>
  </w:num>
  <w:num w:numId="9">
    <w:abstractNumId w:val="13"/>
  </w:num>
  <w:num w:numId="10">
    <w:abstractNumId w:val="1"/>
  </w:num>
  <w:num w:numId="11">
    <w:abstractNumId w:val="36"/>
  </w:num>
  <w:num w:numId="12">
    <w:abstractNumId w:val="19"/>
  </w:num>
  <w:num w:numId="13">
    <w:abstractNumId w:val="15"/>
  </w:num>
  <w:num w:numId="14">
    <w:abstractNumId w:val="43"/>
  </w:num>
  <w:num w:numId="15">
    <w:abstractNumId w:val="7"/>
  </w:num>
  <w:num w:numId="16">
    <w:abstractNumId w:val="22"/>
  </w:num>
  <w:num w:numId="17">
    <w:abstractNumId w:val="46"/>
  </w:num>
  <w:num w:numId="18">
    <w:abstractNumId w:val="41"/>
  </w:num>
  <w:num w:numId="19">
    <w:abstractNumId w:val="12"/>
  </w:num>
  <w:num w:numId="20">
    <w:abstractNumId w:val="32"/>
  </w:num>
  <w:num w:numId="21">
    <w:abstractNumId w:val="27"/>
  </w:num>
  <w:num w:numId="22">
    <w:abstractNumId w:val="16"/>
  </w:num>
  <w:num w:numId="23">
    <w:abstractNumId w:val="45"/>
  </w:num>
  <w:num w:numId="24">
    <w:abstractNumId w:val="20"/>
  </w:num>
  <w:num w:numId="25">
    <w:abstractNumId w:val="25"/>
  </w:num>
  <w:num w:numId="26">
    <w:abstractNumId w:val="31"/>
  </w:num>
  <w:num w:numId="27">
    <w:abstractNumId w:val="3"/>
  </w:num>
  <w:num w:numId="28">
    <w:abstractNumId w:val="39"/>
  </w:num>
  <w:num w:numId="29">
    <w:abstractNumId w:val="18"/>
  </w:num>
  <w:num w:numId="30">
    <w:abstractNumId w:val="21"/>
  </w:num>
  <w:num w:numId="31">
    <w:abstractNumId w:val="44"/>
  </w:num>
  <w:num w:numId="32">
    <w:abstractNumId w:val="2"/>
  </w:num>
  <w:num w:numId="33">
    <w:abstractNumId w:val="26"/>
  </w:num>
  <w:num w:numId="34">
    <w:abstractNumId w:val="8"/>
  </w:num>
  <w:num w:numId="35">
    <w:abstractNumId w:val="9"/>
  </w:num>
  <w:num w:numId="36">
    <w:abstractNumId w:val="37"/>
  </w:num>
  <w:num w:numId="37">
    <w:abstractNumId w:val="17"/>
  </w:num>
  <w:num w:numId="38">
    <w:abstractNumId w:val="35"/>
  </w:num>
  <w:num w:numId="39">
    <w:abstractNumId w:val="4"/>
  </w:num>
  <w:num w:numId="40">
    <w:abstractNumId w:val="28"/>
  </w:num>
  <w:num w:numId="41">
    <w:abstractNumId w:val="14"/>
  </w:num>
  <w:num w:numId="42">
    <w:abstractNumId w:val="11"/>
  </w:num>
  <w:num w:numId="43">
    <w:abstractNumId w:val="33"/>
  </w:num>
  <w:num w:numId="44">
    <w:abstractNumId w:val="30"/>
  </w:num>
  <w:num w:numId="45">
    <w:abstractNumId w:val="23"/>
  </w:num>
  <w:num w:numId="46">
    <w:abstractNumId w:val="5"/>
  </w:num>
  <w:num w:numId="47">
    <w:abstractNumId w:val="40"/>
  </w:num>
  <w:num w:numId="48">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B9"/>
    <w:rsid w:val="00011687"/>
    <w:rsid w:val="00036AC8"/>
    <w:rsid w:val="00043515"/>
    <w:rsid w:val="000468A1"/>
    <w:rsid w:val="000564A5"/>
    <w:rsid w:val="00056FB5"/>
    <w:rsid w:val="0006197B"/>
    <w:rsid w:val="00072AEB"/>
    <w:rsid w:val="00087CAC"/>
    <w:rsid w:val="00093D4D"/>
    <w:rsid w:val="00096DE6"/>
    <w:rsid w:val="00097A8A"/>
    <w:rsid w:val="000C0074"/>
    <w:rsid w:val="000C5B33"/>
    <w:rsid w:val="000D1921"/>
    <w:rsid w:val="000E4BDA"/>
    <w:rsid w:val="000F3A0F"/>
    <w:rsid w:val="001069DC"/>
    <w:rsid w:val="001363DD"/>
    <w:rsid w:val="0013646D"/>
    <w:rsid w:val="00140A64"/>
    <w:rsid w:val="001536A3"/>
    <w:rsid w:val="001664CD"/>
    <w:rsid w:val="001726AC"/>
    <w:rsid w:val="00183BC3"/>
    <w:rsid w:val="001A020D"/>
    <w:rsid w:val="001A5DA1"/>
    <w:rsid w:val="001C4AFF"/>
    <w:rsid w:val="001C4F41"/>
    <w:rsid w:val="001F3A48"/>
    <w:rsid w:val="001F6AFF"/>
    <w:rsid w:val="0020566D"/>
    <w:rsid w:val="0020603E"/>
    <w:rsid w:val="002246AB"/>
    <w:rsid w:val="00226AC5"/>
    <w:rsid w:val="00240AA3"/>
    <w:rsid w:val="0026544A"/>
    <w:rsid w:val="0027112D"/>
    <w:rsid w:val="0027443D"/>
    <w:rsid w:val="00280290"/>
    <w:rsid w:val="002A21C2"/>
    <w:rsid w:val="002B0CD8"/>
    <w:rsid w:val="002B1D39"/>
    <w:rsid w:val="002E038D"/>
    <w:rsid w:val="002F0028"/>
    <w:rsid w:val="002F0C9E"/>
    <w:rsid w:val="002F6DCC"/>
    <w:rsid w:val="003020BD"/>
    <w:rsid w:val="00304C23"/>
    <w:rsid w:val="00326232"/>
    <w:rsid w:val="00330BB1"/>
    <w:rsid w:val="00343567"/>
    <w:rsid w:val="003546BF"/>
    <w:rsid w:val="003655BE"/>
    <w:rsid w:val="00370ABD"/>
    <w:rsid w:val="003803FD"/>
    <w:rsid w:val="00385BF5"/>
    <w:rsid w:val="00385C85"/>
    <w:rsid w:val="0039730D"/>
    <w:rsid w:val="003B2F4A"/>
    <w:rsid w:val="003E0C53"/>
    <w:rsid w:val="0040436D"/>
    <w:rsid w:val="004077BF"/>
    <w:rsid w:val="004126E1"/>
    <w:rsid w:val="00417170"/>
    <w:rsid w:val="0041788C"/>
    <w:rsid w:val="00426153"/>
    <w:rsid w:val="004434B5"/>
    <w:rsid w:val="0044745A"/>
    <w:rsid w:val="004559D0"/>
    <w:rsid w:val="0046420C"/>
    <w:rsid w:val="00480820"/>
    <w:rsid w:val="004877EA"/>
    <w:rsid w:val="00490743"/>
    <w:rsid w:val="00493885"/>
    <w:rsid w:val="004B4DFD"/>
    <w:rsid w:val="004B7268"/>
    <w:rsid w:val="004E1EAF"/>
    <w:rsid w:val="00520990"/>
    <w:rsid w:val="00523EAD"/>
    <w:rsid w:val="00532E87"/>
    <w:rsid w:val="00544DD7"/>
    <w:rsid w:val="005534CF"/>
    <w:rsid w:val="00554486"/>
    <w:rsid w:val="0056726E"/>
    <w:rsid w:val="0057142E"/>
    <w:rsid w:val="00571DE4"/>
    <w:rsid w:val="0057371F"/>
    <w:rsid w:val="00575CBA"/>
    <w:rsid w:val="005925AC"/>
    <w:rsid w:val="005A3E85"/>
    <w:rsid w:val="005A52F9"/>
    <w:rsid w:val="005B5AEB"/>
    <w:rsid w:val="005D5BBD"/>
    <w:rsid w:val="005D66D9"/>
    <w:rsid w:val="005E7B86"/>
    <w:rsid w:val="00600482"/>
    <w:rsid w:val="00613B6C"/>
    <w:rsid w:val="00615837"/>
    <w:rsid w:val="00624FC0"/>
    <w:rsid w:val="006261B5"/>
    <w:rsid w:val="006271FA"/>
    <w:rsid w:val="006517C5"/>
    <w:rsid w:val="006554EB"/>
    <w:rsid w:val="00670A40"/>
    <w:rsid w:val="006746BE"/>
    <w:rsid w:val="006B526D"/>
    <w:rsid w:val="006B56CA"/>
    <w:rsid w:val="006C7911"/>
    <w:rsid w:val="006D2E68"/>
    <w:rsid w:val="006E5EE7"/>
    <w:rsid w:val="006F2E69"/>
    <w:rsid w:val="007519B8"/>
    <w:rsid w:val="00757CB5"/>
    <w:rsid w:val="00770DD9"/>
    <w:rsid w:val="00777809"/>
    <w:rsid w:val="00783C71"/>
    <w:rsid w:val="00785F4E"/>
    <w:rsid w:val="00794B3D"/>
    <w:rsid w:val="007A79D5"/>
    <w:rsid w:val="007B6F25"/>
    <w:rsid w:val="007C716A"/>
    <w:rsid w:val="007D63BF"/>
    <w:rsid w:val="007F2BDF"/>
    <w:rsid w:val="008117AB"/>
    <w:rsid w:val="0081616E"/>
    <w:rsid w:val="00827EDE"/>
    <w:rsid w:val="0084367B"/>
    <w:rsid w:val="00846A23"/>
    <w:rsid w:val="00846F7D"/>
    <w:rsid w:val="00854EDA"/>
    <w:rsid w:val="0086293E"/>
    <w:rsid w:val="00870D78"/>
    <w:rsid w:val="00881B01"/>
    <w:rsid w:val="008D6023"/>
    <w:rsid w:val="008D7527"/>
    <w:rsid w:val="008E25E0"/>
    <w:rsid w:val="00901042"/>
    <w:rsid w:val="00920C3A"/>
    <w:rsid w:val="00953951"/>
    <w:rsid w:val="00967902"/>
    <w:rsid w:val="00977FD8"/>
    <w:rsid w:val="00993A6B"/>
    <w:rsid w:val="009973EE"/>
    <w:rsid w:val="009B612C"/>
    <w:rsid w:val="009D203A"/>
    <w:rsid w:val="009F070E"/>
    <w:rsid w:val="009F1FCC"/>
    <w:rsid w:val="009F301A"/>
    <w:rsid w:val="00A10611"/>
    <w:rsid w:val="00A75979"/>
    <w:rsid w:val="00A8140A"/>
    <w:rsid w:val="00A84173"/>
    <w:rsid w:val="00A93859"/>
    <w:rsid w:val="00AA620D"/>
    <w:rsid w:val="00AB6A27"/>
    <w:rsid w:val="00AB6EEB"/>
    <w:rsid w:val="00AC4BCE"/>
    <w:rsid w:val="00AD15E2"/>
    <w:rsid w:val="00AD541F"/>
    <w:rsid w:val="00AE22D1"/>
    <w:rsid w:val="00AF0D12"/>
    <w:rsid w:val="00AF7F4C"/>
    <w:rsid w:val="00B1246E"/>
    <w:rsid w:val="00B226CB"/>
    <w:rsid w:val="00B25AEB"/>
    <w:rsid w:val="00B264A0"/>
    <w:rsid w:val="00B348B3"/>
    <w:rsid w:val="00B41E43"/>
    <w:rsid w:val="00B575F5"/>
    <w:rsid w:val="00B65C08"/>
    <w:rsid w:val="00B767C8"/>
    <w:rsid w:val="00B770C2"/>
    <w:rsid w:val="00B82953"/>
    <w:rsid w:val="00BB091A"/>
    <w:rsid w:val="00BB789B"/>
    <w:rsid w:val="00BC10B9"/>
    <w:rsid w:val="00BD04C0"/>
    <w:rsid w:val="00BF28A3"/>
    <w:rsid w:val="00BF4BB5"/>
    <w:rsid w:val="00BF6DD0"/>
    <w:rsid w:val="00C10D62"/>
    <w:rsid w:val="00C20303"/>
    <w:rsid w:val="00C3308E"/>
    <w:rsid w:val="00C45857"/>
    <w:rsid w:val="00C51224"/>
    <w:rsid w:val="00C528AC"/>
    <w:rsid w:val="00C62250"/>
    <w:rsid w:val="00C85DF6"/>
    <w:rsid w:val="00C96070"/>
    <w:rsid w:val="00CD56DC"/>
    <w:rsid w:val="00D15AF4"/>
    <w:rsid w:val="00D23510"/>
    <w:rsid w:val="00D23C9D"/>
    <w:rsid w:val="00D248E6"/>
    <w:rsid w:val="00D24CB3"/>
    <w:rsid w:val="00D27202"/>
    <w:rsid w:val="00D449D4"/>
    <w:rsid w:val="00D4612A"/>
    <w:rsid w:val="00D468A9"/>
    <w:rsid w:val="00D54AE8"/>
    <w:rsid w:val="00D55674"/>
    <w:rsid w:val="00D7555B"/>
    <w:rsid w:val="00D84EFA"/>
    <w:rsid w:val="00D93E77"/>
    <w:rsid w:val="00D94B2F"/>
    <w:rsid w:val="00DB1B19"/>
    <w:rsid w:val="00DB70E1"/>
    <w:rsid w:val="00DD1346"/>
    <w:rsid w:val="00E01690"/>
    <w:rsid w:val="00E12590"/>
    <w:rsid w:val="00E15F23"/>
    <w:rsid w:val="00E3315D"/>
    <w:rsid w:val="00E35E25"/>
    <w:rsid w:val="00E52B80"/>
    <w:rsid w:val="00E85953"/>
    <w:rsid w:val="00E86F8B"/>
    <w:rsid w:val="00EB415B"/>
    <w:rsid w:val="00EC10AF"/>
    <w:rsid w:val="00EC7733"/>
    <w:rsid w:val="00EF2B1B"/>
    <w:rsid w:val="00EF61DC"/>
    <w:rsid w:val="00EF690A"/>
    <w:rsid w:val="00F03F22"/>
    <w:rsid w:val="00F15140"/>
    <w:rsid w:val="00F54FFF"/>
    <w:rsid w:val="00F74AB5"/>
    <w:rsid w:val="00F776CB"/>
    <w:rsid w:val="00F81A82"/>
    <w:rsid w:val="00F87200"/>
    <w:rsid w:val="00F951B3"/>
    <w:rsid w:val="00FA14B1"/>
    <w:rsid w:val="00FC7154"/>
    <w:rsid w:val="00FD442A"/>
    <w:rsid w:val="00FE0562"/>
    <w:rsid w:val="00FE4050"/>
    <w:rsid w:val="00FE4329"/>
    <w:rsid w:val="00FF068F"/>
    <w:rsid w:val="00FF2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369719"/>
  <w15:docId w15:val="{81F437E2-326D-4BD1-A184-2B2E3368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120"/>
      <w:outlineLvl w:val="0"/>
    </w:pPr>
    <w:rPr>
      <w:rFonts w:ascii="Arial" w:eastAsia="Arial" w:hAnsi="Arial" w:cs="Arial"/>
      <w:b/>
      <w:sz w:val="28"/>
      <w:szCs w:val="28"/>
    </w:rPr>
  </w:style>
  <w:style w:type="paragraph" w:styleId="Heading2">
    <w:name w:val="heading 2"/>
    <w:basedOn w:val="Normal"/>
    <w:next w:val="Normal"/>
    <w:pPr>
      <w:keepNext/>
      <w:outlineLvl w:val="1"/>
    </w:pPr>
    <w:rPr>
      <w:rFonts w:ascii="Arial" w:eastAsia="Arial" w:hAnsi="Arial" w:cs="Arial"/>
      <w:sz w:val="24"/>
      <w:szCs w:val="24"/>
    </w:rPr>
  </w:style>
  <w:style w:type="paragraph" w:styleId="Heading3">
    <w:name w:val="heading 3"/>
    <w:basedOn w:val="Normal"/>
    <w:next w:val="Normal"/>
    <w:pPr>
      <w:keepNext/>
      <w:spacing w:before="240" w:after="60"/>
      <w:outlineLvl w:val="2"/>
    </w:pPr>
    <w:rPr>
      <w:b/>
      <w:sz w:val="24"/>
      <w:szCs w:val="24"/>
    </w:rPr>
  </w:style>
  <w:style w:type="paragraph" w:styleId="Heading4">
    <w:name w:val="heading 4"/>
    <w:basedOn w:val="Normal"/>
    <w:next w:val="Normal"/>
    <w:pPr>
      <w:keepNext/>
      <w:ind w:left="360"/>
      <w:outlineLvl w:val="3"/>
    </w:pPr>
    <w:rPr>
      <w:rFonts w:ascii="Arial" w:eastAsia="Arial" w:hAnsi="Arial" w:cs="Arial"/>
      <w:sz w:val="24"/>
      <w:szCs w:val="24"/>
    </w:rPr>
  </w:style>
  <w:style w:type="paragraph" w:styleId="Heading5">
    <w:name w:val="heading 5"/>
    <w:basedOn w:val="Normal"/>
    <w:next w:val="Normal"/>
    <w:pPr>
      <w:keepNext/>
      <w:ind w:left="720" w:right="720"/>
      <w:jc w:val="both"/>
      <w:outlineLvl w:val="4"/>
    </w:pPr>
    <w:rPr>
      <w:rFonts w:ascii="Arial" w:eastAsia="Arial" w:hAnsi="Arial" w:cs="Arial"/>
      <w:b/>
      <w:sz w:val="24"/>
      <w:szCs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0E4BDA"/>
    <w:pPr>
      <w:spacing w:before="100" w:beforeAutospacing="1" w:after="100" w:afterAutospacing="1"/>
    </w:pPr>
    <w:rPr>
      <w:sz w:val="24"/>
      <w:szCs w:val="24"/>
    </w:rPr>
  </w:style>
  <w:style w:type="character" w:styleId="Hyperlink">
    <w:name w:val="Hyperlink"/>
    <w:basedOn w:val="DefaultParagraphFont"/>
    <w:uiPriority w:val="99"/>
    <w:unhideWhenUsed/>
    <w:rsid w:val="000E4BDA"/>
    <w:rPr>
      <w:color w:val="0000FF" w:themeColor="hyperlink"/>
      <w:u w:val="single"/>
    </w:rPr>
  </w:style>
  <w:style w:type="paragraph" w:styleId="ListParagraph">
    <w:name w:val="List Paragraph"/>
    <w:basedOn w:val="Normal"/>
    <w:uiPriority w:val="34"/>
    <w:qFormat/>
    <w:rsid w:val="00072AEB"/>
    <w:pPr>
      <w:ind w:left="720"/>
      <w:contextualSpacing/>
    </w:pPr>
  </w:style>
  <w:style w:type="paragraph" w:customStyle="1" w:styleId="m-8152833056134067350gmail-msolistparagraph">
    <w:name w:val="m_-8152833056134067350gmail-msolistparagraph"/>
    <w:basedOn w:val="Normal"/>
    <w:rsid w:val="00901042"/>
    <w:pPr>
      <w:spacing w:before="100" w:beforeAutospacing="1" w:after="100" w:afterAutospacing="1"/>
    </w:pPr>
    <w:rPr>
      <w:sz w:val="24"/>
      <w:szCs w:val="24"/>
    </w:rPr>
  </w:style>
  <w:style w:type="paragraph" w:styleId="Header">
    <w:name w:val="header"/>
    <w:basedOn w:val="Normal"/>
    <w:link w:val="HeaderChar"/>
    <w:uiPriority w:val="99"/>
    <w:unhideWhenUsed/>
    <w:rsid w:val="001363DD"/>
    <w:pPr>
      <w:tabs>
        <w:tab w:val="center" w:pos="4680"/>
        <w:tab w:val="right" w:pos="9360"/>
      </w:tabs>
    </w:pPr>
  </w:style>
  <w:style w:type="character" w:customStyle="1" w:styleId="HeaderChar">
    <w:name w:val="Header Char"/>
    <w:basedOn w:val="DefaultParagraphFont"/>
    <w:link w:val="Header"/>
    <w:uiPriority w:val="99"/>
    <w:rsid w:val="001363DD"/>
  </w:style>
  <w:style w:type="paragraph" w:styleId="Footer">
    <w:name w:val="footer"/>
    <w:basedOn w:val="Normal"/>
    <w:link w:val="FooterChar"/>
    <w:uiPriority w:val="99"/>
    <w:unhideWhenUsed/>
    <w:rsid w:val="001363DD"/>
    <w:pPr>
      <w:tabs>
        <w:tab w:val="center" w:pos="4680"/>
        <w:tab w:val="right" w:pos="9360"/>
      </w:tabs>
    </w:pPr>
  </w:style>
  <w:style w:type="character" w:customStyle="1" w:styleId="FooterChar">
    <w:name w:val="Footer Char"/>
    <w:basedOn w:val="DefaultParagraphFont"/>
    <w:link w:val="Footer"/>
    <w:uiPriority w:val="99"/>
    <w:rsid w:val="001363DD"/>
  </w:style>
  <w:style w:type="table" w:styleId="TableGrid">
    <w:name w:val="Table Grid"/>
    <w:basedOn w:val="TableNormal"/>
    <w:uiPriority w:val="39"/>
    <w:rsid w:val="0052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264A0"/>
    <w:rPr>
      <w:i/>
      <w:iCs/>
    </w:rPr>
  </w:style>
  <w:style w:type="paragraph" w:styleId="BalloonText">
    <w:name w:val="Balloon Text"/>
    <w:basedOn w:val="Normal"/>
    <w:link w:val="BalloonTextChar"/>
    <w:uiPriority w:val="99"/>
    <w:semiHidden/>
    <w:unhideWhenUsed/>
    <w:rsid w:val="005534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4CF"/>
    <w:rPr>
      <w:rFonts w:ascii="Segoe UI" w:hAnsi="Segoe UI" w:cs="Segoe UI"/>
      <w:sz w:val="18"/>
      <w:szCs w:val="18"/>
    </w:rPr>
  </w:style>
  <w:style w:type="character" w:styleId="CommentReference">
    <w:name w:val="annotation reference"/>
    <w:basedOn w:val="DefaultParagraphFont"/>
    <w:uiPriority w:val="99"/>
    <w:semiHidden/>
    <w:unhideWhenUsed/>
    <w:rsid w:val="00D449D4"/>
    <w:rPr>
      <w:sz w:val="16"/>
      <w:szCs w:val="16"/>
    </w:rPr>
  </w:style>
  <w:style w:type="paragraph" w:styleId="CommentText">
    <w:name w:val="annotation text"/>
    <w:basedOn w:val="Normal"/>
    <w:link w:val="CommentTextChar"/>
    <w:uiPriority w:val="99"/>
    <w:semiHidden/>
    <w:unhideWhenUsed/>
    <w:rsid w:val="00D449D4"/>
  </w:style>
  <w:style w:type="character" w:customStyle="1" w:styleId="CommentTextChar">
    <w:name w:val="Comment Text Char"/>
    <w:basedOn w:val="DefaultParagraphFont"/>
    <w:link w:val="CommentText"/>
    <w:uiPriority w:val="99"/>
    <w:semiHidden/>
    <w:rsid w:val="00D449D4"/>
  </w:style>
  <w:style w:type="paragraph" w:styleId="CommentSubject">
    <w:name w:val="annotation subject"/>
    <w:basedOn w:val="CommentText"/>
    <w:next w:val="CommentText"/>
    <w:link w:val="CommentSubjectChar"/>
    <w:uiPriority w:val="99"/>
    <w:semiHidden/>
    <w:unhideWhenUsed/>
    <w:rsid w:val="00D449D4"/>
    <w:rPr>
      <w:b/>
      <w:bCs/>
    </w:rPr>
  </w:style>
  <w:style w:type="character" w:customStyle="1" w:styleId="CommentSubjectChar">
    <w:name w:val="Comment Subject Char"/>
    <w:basedOn w:val="CommentTextChar"/>
    <w:link w:val="CommentSubject"/>
    <w:uiPriority w:val="99"/>
    <w:semiHidden/>
    <w:rsid w:val="00D449D4"/>
    <w:rPr>
      <w:b/>
      <w:bCs/>
    </w:rPr>
  </w:style>
  <w:style w:type="paragraph" w:styleId="TOCHeading">
    <w:name w:val="TOC Heading"/>
    <w:basedOn w:val="Heading1"/>
    <w:next w:val="Normal"/>
    <w:uiPriority w:val="39"/>
    <w:unhideWhenUsed/>
    <w:qFormat/>
    <w:rsid w:val="002A21C2"/>
    <w:pPr>
      <w:keepLines/>
      <w:spacing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2A21C2"/>
    <w:pPr>
      <w:spacing w:after="100"/>
      <w:ind w:left="200"/>
    </w:pPr>
  </w:style>
  <w:style w:type="paragraph" w:styleId="TOC1">
    <w:name w:val="toc 1"/>
    <w:basedOn w:val="Normal"/>
    <w:next w:val="Normal"/>
    <w:autoRedefine/>
    <w:uiPriority w:val="39"/>
    <w:unhideWhenUsed/>
    <w:rsid w:val="0039730D"/>
    <w:pPr>
      <w:tabs>
        <w:tab w:val="right" w:leader="dot" w:pos="9350"/>
      </w:tabs>
      <w:spacing w:before="240"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2A21C2"/>
    <w:pPr>
      <w:spacing w:after="100" w:line="259" w:lineRule="auto"/>
      <w:ind w:left="440"/>
    </w:pPr>
    <w:rPr>
      <w:rFonts w:asciiTheme="minorHAnsi" w:eastAsiaTheme="minorEastAsia" w:hAnsiTheme="minorHAnsi"/>
      <w:sz w:val="22"/>
      <w:szCs w:val="22"/>
    </w:rPr>
  </w:style>
  <w:style w:type="character" w:styleId="Strong">
    <w:name w:val="Strong"/>
    <w:basedOn w:val="DefaultParagraphFont"/>
    <w:uiPriority w:val="22"/>
    <w:qFormat/>
    <w:rsid w:val="00D94B2F"/>
    <w:rPr>
      <w:b/>
      <w:bCs/>
    </w:rPr>
  </w:style>
  <w:style w:type="paragraph" w:customStyle="1" w:styleId="SubHeading">
    <w:name w:val="Sub Heading"/>
    <w:basedOn w:val="Normal"/>
    <w:link w:val="SubHeadingChar"/>
    <w:qFormat/>
    <w:rsid w:val="00D94B2F"/>
    <w:rPr>
      <w:b/>
      <w:sz w:val="22"/>
    </w:rPr>
  </w:style>
  <w:style w:type="character" w:customStyle="1" w:styleId="SubHeadingChar">
    <w:name w:val="Sub Heading Char"/>
    <w:basedOn w:val="DefaultParagraphFont"/>
    <w:link w:val="SubHeading"/>
    <w:rsid w:val="00D94B2F"/>
    <w:rPr>
      <w:b/>
      <w:sz w:val="22"/>
    </w:rPr>
  </w:style>
  <w:style w:type="character" w:styleId="FollowedHyperlink">
    <w:name w:val="FollowedHyperlink"/>
    <w:basedOn w:val="DefaultParagraphFont"/>
    <w:uiPriority w:val="99"/>
    <w:semiHidden/>
    <w:unhideWhenUsed/>
    <w:rsid w:val="00FE4329"/>
    <w:rPr>
      <w:color w:val="800080" w:themeColor="followedHyperlink"/>
      <w:u w:val="single"/>
    </w:rPr>
  </w:style>
  <w:style w:type="paragraph" w:styleId="EndnoteText">
    <w:name w:val="endnote text"/>
    <w:basedOn w:val="Normal"/>
    <w:link w:val="EndnoteTextChar"/>
    <w:uiPriority w:val="99"/>
    <w:unhideWhenUsed/>
    <w:rsid w:val="00043515"/>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043515"/>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043515"/>
    <w:rPr>
      <w:vertAlign w:val="superscript"/>
    </w:rPr>
  </w:style>
  <w:style w:type="paragraph" w:styleId="FootnoteText">
    <w:name w:val="footnote text"/>
    <w:basedOn w:val="Normal"/>
    <w:link w:val="FootnoteTextChar"/>
    <w:uiPriority w:val="99"/>
    <w:semiHidden/>
    <w:unhideWhenUsed/>
    <w:rsid w:val="00043515"/>
  </w:style>
  <w:style w:type="character" w:customStyle="1" w:styleId="FootnoteTextChar">
    <w:name w:val="Footnote Text Char"/>
    <w:basedOn w:val="DefaultParagraphFont"/>
    <w:link w:val="FootnoteText"/>
    <w:uiPriority w:val="99"/>
    <w:semiHidden/>
    <w:rsid w:val="00043515"/>
  </w:style>
  <w:style w:type="character" w:styleId="FootnoteReference">
    <w:name w:val="footnote reference"/>
    <w:basedOn w:val="DefaultParagraphFont"/>
    <w:uiPriority w:val="99"/>
    <w:semiHidden/>
    <w:unhideWhenUsed/>
    <w:rsid w:val="00043515"/>
    <w:rPr>
      <w:vertAlign w:val="superscript"/>
    </w:rPr>
  </w:style>
  <w:style w:type="paragraph" w:styleId="BodyText">
    <w:name w:val="Body Text"/>
    <w:basedOn w:val="Normal"/>
    <w:link w:val="BodyTextChar"/>
    <w:rsid w:val="001536A3"/>
    <w:pPr>
      <w:spacing w:after="120"/>
    </w:pPr>
  </w:style>
  <w:style w:type="character" w:customStyle="1" w:styleId="BodyTextChar">
    <w:name w:val="Body Text Char"/>
    <w:basedOn w:val="DefaultParagraphFont"/>
    <w:link w:val="BodyText"/>
    <w:rsid w:val="00153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5561">
      <w:bodyDiv w:val="1"/>
      <w:marLeft w:val="0"/>
      <w:marRight w:val="0"/>
      <w:marTop w:val="0"/>
      <w:marBottom w:val="0"/>
      <w:divBdr>
        <w:top w:val="none" w:sz="0" w:space="0" w:color="auto"/>
        <w:left w:val="none" w:sz="0" w:space="0" w:color="auto"/>
        <w:bottom w:val="none" w:sz="0" w:space="0" w:color="auto"/>
        <w:right w:val="none" w:sz="0" w:space="0" w:color="auto"/>
      </w:divBdr>
    </w:div>
    <w:div w:id="946042065">
      <w:bodyDiv w:val="1"/>
      <w:marLeft w:val="0"/>
      <w:marRight w:val="0"/>
      <w:marTop w:val="0"/>
      <w:marBottom w:val="0"/>
      <w:divBdr>
        <w:top w:val="none" w:sz="0" w:space="0" w:color="auto"/>
        <w:left w:val="none" w:sz="0" w:space="0" w:color="auto"/>
        <w:bottom w:val="none" w:sz="0" w:space="0" w:color="auto"/>
        <w:right w:val="none" w:sz="0" w:space="0" w:color="auto"/>
      </w:divBdr>
    </w:div>
    <w:div w:id="1136798400">
      <w:bodyDiv w:val="1"/>
      <w:marLeft w:val="0"/>
      <w:marRight w:val="0"/>
      <w:marTop w:val="0"/>
      <w:marBottom w:val="0"/>
      <w:divBdr>
        <w:top w:val="none" w:sz="0" w:space="0" w:color="auto"/>
        <w:left w:val="none" w:sz="0" w:space="0" w:color="auto"/>
        <w:bottom w:val="none" w:sz="0" w:space="0" w:color="auto"/>
        <w:right w:val="none" w:sz="0" w:space="0" w:color="auto"/>
      </w:divBdr>
    </w:div>
    <w:div w:id="1872451863">
      <w:bodyDiv w:val="1"/>
      <w:marLeft w:val="0"/>
      <w:marRight w:val="0"/>
      <w:marTop w:val="0"/>
      <w:marBottom w:val="0"/>
      <w:divBdr>
        <w:top w:val="none" w:sz="0" w:space="0" w:color="auto"/>
        <w:left w:val="none" w:sz="0" w:space="0" w:color="auto"/>
        <w:bottom w:val="none" w:sz="0" w:space="0" w:color="auto"/>
        <w:right w:val="none" w:sz="0" w:space="0" w:color="auto"/>
      </w:divBdr>
    </w:div>
    <w:div w:id="2026898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jp.gov/about/ocr/assistance.htm" TargetMode="External"/><Relationship Id="rId18" Type="http://schemas.openxmlformats.org/officeDocument/2006/relationships/hyperlink" Target="https://www.federalregister.gov/d/2016-16085/p-256" TargetMode="External"/><Relationship Id="rId26" Type="http://schemas.openxmlformats.org/officeDocument/2006/relationships/hyperlink" Target="http://www.gsa.gov/travel/plan-book/per-diem-rates" TargetMode="External"/><Relationship Id="rId3" Type="http://schemas.openxmlformats.org/officeDocument/2006/relationships/styles" Target="styles.xml"/><Relationship Id="rId21" Type="http://schemas.openxmlformats.org/officeDocument/2006/relationships/hyperlink" Target="http://www.independentsector.org/volunteer_tim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jp.gov/about/ocr/statutes.htm" TargetMode="External"/><Relationship Id="rId17" Type="http://schemas.openxmlformats.org/officeDocument/2006/relationships/hyperlink" Target="https://www.justice.gov/ovw/file/1030311/download" TargetMode="External"/><Relationship Id="rId25" Type="http://schemas.openxmlformats.org/officeDocument/2006/relationships/hyperlink" Target="https://www.federalregister.gov/documents/2016/07/08/2016-16085/victims-of-crime-act-victim-assistance-program"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dcjs.virginia.gov/grants/gmis-online" TargetMode="External"/><Relationship Id="rId20" Type="http://schemas.openxmlformats.org/officeDocument/2006/relationships/hyperlink" Target="https://www.federalregister.gov/d/2016-16085/p-262" TargetMode="External"/><Relationship Id="rId29" Type="http://schemas.openxmlformats.org/officeDocument/2006/relationships/hyperlink" Target="http://www.dcjs.virginia.gov/victims-services/gr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tice.gov/ovw/file/1030311/download" TargetMode="External"/><Relationship Id="rId24" Type="http://schemas.openxmlformats.org/officeDocument/2006/relationships/hyperlink" Target="http://fedgov.dnb.com/webfor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jp.gov/about/ocr/eeop.htm" TargetMode="External"/><Relationship Id="rId23" Type="http://schemas.openxmlformats.org/officeDocument/2006/relationships/hyperlink" Target="https://www.dcjs.virginia.gov/grants/gmis-online" TargetMode="External"/><Relationship Id="rId28" Type="http://schemas.openxmlformats.org/officeDocument/2006/relationships/hyperlink" Target="mailto:grantsmgmt@dcjs.virginia.gov" TargetMode="External"/><Relationship Id="rId10" Type="http://schemas.openxmlformats.org/officeDocument/2006/relationships/hyperlink" Target="https://www.dcjs.virginia.gov/sites/dcjs.virginia.gov/files/grants/fy-2019-2021-victim-witness-grant-program-guidelines-new-and-continuation-applicants/vocarulesandregulations.pdf" TargetMode="External"/><Relationship Id="rId19" Type="http://schemas.openxmlformats.org/officeDocument/2006/relationships/hyperlink" Target="https://www.federalregister.gov/d/2016-16085/p-26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cjs.virginia.gov/victims-services/grants/voca" TargetMode="External"/><Relationship Id="rId14" Type="http://schemas.openxmlformats.org/officeDocument/2006/relationships/hyperlink" Target="http://www.lep.gov" TargetMode="External"/><Relationship Id="rId22" Type="http://schemas.openxmlformats.org/officeDocument/2006/relationships/hyperlink" Target="mailto:voca@dcjs.virginia.gov" TargetMode="External"/><Relationship Id="rId27" Type="http://schemas.openxmlformats.org/officeDocument/2006/relationships/hyperlink" Target="http://www.doa.virginia.gov/reference/CAPP/CAPP_Topics/20335-2015.pdf"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63343-976B-4DAB-BA75-3B69AED2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7099</Words>
  <Characters>40468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Vadas, Kristina (DCJS)</dc:creator>
  <cp:lastModifiedBy>Kristina Vadas</cp:lastModifiedBy>
  <cp:revision>2</cp:revision>
  <cp:lastPrinted>2019-03-01T15:16:00Z</cp:lastPrinted>
  <dcterms:created xsi:type="dcterms:W3CDTF">2019-03-06T03:04:00Z</dcterms:created>
  <dcterms:modified xsi:type="dcterms:W3CDTF">2019-03-06T03:04:00Z</dcterms:modified>
</cp:coreProperties>
</file>